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28" w:rsidRDefault="00A2387B" w:rsidP="00007B42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-1097280</wp:posOffset>
                </wp:positionH>
                <wp:positionV relativeFrom="paragraph">
                  <wp:posOffset>-294640</wp:posOffset>
                </wp:positionV>
                <wp:extent cx="7386320" cy="426720"/>
                <wp:effectExtent l="0" t="635" r="0" b="127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63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828" w:rsidRPr="00266306" w:rsidRDefault="00337828" w:rsidP="00337828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61C05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#67 PICTON STREET, NEWTOWN, PORT OF SPAIN, TRINIDAD, W.I.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;</w:t>
                            </w:r>
                            <w:r w:rsidRPr="00A61C05">
                              <w:rPr>
                                <w:rFonts w:ascii="Arial Narrow" w:hAnsi="Arial Narrow" w:cs="Arial"/>
                                <w:b/>
                                <w:color w:val="0000FF"/>
                                <w:sz w:val="20"/>
                                <w:szCs w:val="20"/>
                              </w:rPr>
                              <w:t>Tel: (868) 622-3770/4781/622-0929, Fax: (868) 622-3751, Website: www.canto.org</w:t>
                            </w:r>
                            <w:bookmarkStart w:id="0" w:name="OLE_LINK1"/>
                            <w:bookmarkEnd w:id="0"/>
                          </w:p>
                          <w:p w:rsidR="00337828" w:rsidRDefault="00337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6.4pt;margin-top:-23.2pt;width:581.6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xdfw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" stroked="f">
                <v:textbox>
                  <w:txbxContent>
                    <w:p w:rsidR="00337828" w:rsidRPr="00266306" w:rsidRDefault="00337828" w:rsidP="00337828">
                      <w:pPr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A61C05"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 xml:space="preserve">#67 PICTON STREET, NEWTOWN, PORT OF SPAIN, TRINIDAD, W.I.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20"/>
                          <w:szCs w:val="20"/>
                        </w:rPr>
                        <w:t>;</w:t>
                      </w:r>
                      <w:r w:rsidRPr="00A61C05">
                        <w:rPr>
                          <w:rFonts w:ascii="Arial Narrow" w:hAnsi="Arial Narrow" w:cs="Arial"/>
                          <w:b/>
                          <w:color w:val="0000FF"/>
                          <w:sz w:val="20"/>
                          <w:szCs w:val="20"/>
                        </w:rPr>
                        <w:t>Tel: (868) 622-3770/4781/622-0929, Fax: (868) 622-3751, Website: www.canto.org</w:t>
                      </w:r>
                      <w:bookmarkStart w:id="1" w:name="OLE_LINK1"/>
                      <w:bookmarkEnd w:id="1"/>
                    </w:p>
                    <w:p w:rsidR="00337828" w:rsidRDefault="00337828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-1097280</wp:posOffset>
                </wp:positionH>
                <wp:positionV relativeFrom="paragraph">
                  <wp:posOffset>-883920</wp:posOffset>
                </wp:positionV>
                <wp:extent cx="1122680" cy="553720"/>
                <wp:effectExtent l="0" t="1905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828" w:rsidRDefault="00337828">
                            <w:r w:rsidRPr="00337828">
                              <w:rPr>
                                <w:noProof/>
                                <w:lang w:val="es-VE" w:eastAsia="es-VE"/>
                              </w:rPr>
                              <w:drawing>
                                <wp:inline distT="0" distB="0" distL="0" distR="0">
                                  <wp:extent cx="1026160" cy="6299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nto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875" cy="633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6.4pt;margin-top:-69.6pt;width:88.4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fegw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SH6vTGVeB0b8DND7ANLMdMnbnT9LNDSt+0RG35lbW6bzlhEF0WTiZnR0ccF0A2&#10;/TvN4Bqy8zoCDY3tQumgGAjQgaXHEzMhFBquzPJ8tgATBdt0+mqeR+o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" stroked="f">
                <v:textbox>
                  <w:txbxContent>
                    <w:p w:rsidR="00337828" w:rsidRDefault="00337828">
                      <w:r w:rsidRPr="00337828"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>
                            <wp:extent cx="1026160" cy="6299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nto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875" cy="63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7828" w:rsidRDefault="00337828" w:rsidP="00337828">
      <w:pPr>
        <w:jc w:val="both"/>
        <w:rPr>
          <w:sz w:val="22"/>
          <w:szCs w:val="22"/>
        </w:rPr>
      </w:pPr>
      <w:r>
        <w:rPr>
          <w:sz w:val="22"/>
          <w:szCs w:val="22"/>
        </w:rPr>
        <w:t>Ref:  Ref:  SG 03/01/2015</w:t>
      </w:r>
    </w:p>
    <w:p w:rsidR="00337828" w:rsidRDefault="00337828" w:rsidP="00337828">
      <w:pPr>
        <w:jc w:val="both"/>
        <w:rPr>
          <w:sz w:val="22"/>
          <w:szCs w:val="22"/>
        </w:rPr>
      </w:pPr>
    </w:p>
    <w:p w:rsidR="00337828" w:rsidRDefault="00337828" w:rsidP="00007B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</w:t>
      </w:r>
      <w:r w:rsidRPr="0033782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January, 2015</w:t>
      </w:r>
    </w:p>
    <w:p w:rsidR="00337828" w:rsidRDefault="00337828" w:rsidP="00007B42">
      <w:pPr>
        <w:jc w:val="both"/>
        <w:rPr>
          <w:sz w:val="22"/>
          <w:szCs w:val="22"/>
        </w:rPr>
      </w:pPr>
    </w:p>
    <w:p w:rsidR="00337828" w:rsidRDefault="00337828" w:rsidP="00007B42">
      <w:pPr>
        <w:jc w:val="both"/>
        <w:rPr>
          <w:sz w:val="22"/>
          <w:szCs w:val="22"/>
        </w:rPr>
      </w:pPr>
    </w:p>
    <w:p w:rsidR="00337828" w:rsidRDefault="00337828" w:rsidP="00007B42">
      <w:pPr>
        <w:jc w:val="both"/>
        <w:rPr>
          <w:sz w:val="22"/>
          <w:szCs w:val="22"/>
        </w:rPr>
      </w:pPr>
    </w:p>
    <w:p w:rsidR="00EC168E" w:rsidRPr="00007B42" w:rsidRDefault="000E748C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>Dear ICT Stakeholder:</w:t>
      </w:r>
    </w:p>
    <w:p w:rsidR="000E748C" w:rsidRPr="00007B42" w:rsidRDefault="000E748C" w:rsidP="00007B42">
      <w:pPr>
        <w:jc w:val="both"/>
        <w:rPr>
          <w:sz w:val="22"/>
          <w:szCs w:val="22"/>
        </w:rPr>
      </w:pPr>
    </w:p>
    <w:p w:rsidR="0043211B" w:rsidRPr="00007B42" w:rsidRDefault="000E748C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 xml:space="preserve">I am pleased to </w:t>
      </w:r>
      <w:r w:rsidR="00673997" w:rsidRPr="00007B42">
        <w:rPr>
          <w:sz w:val="22"/>
          <w:szCs w:val="22"/>
        </w:rPr>
        <w:t>invite</w:t>
      </w:r>
      <w:r w:rsidRPr="00007B42">
        <w:rPr>
          <w:sz w:val="22"/>
          <w:szCs w:val="22"/>
        </w:rPr>
        <w:t xml:space="preserve"> you t</w:t>
      </w:r>
      <w:r w:rsidR="00673997" w:rsidRPr="00007B42">
        <w:rPr>
          <w:sz w:val="22"/>
          <w:szCs w:val="22"/>
        </w:rPr>
        <w:t>o</w:t>
      </w:r>
      <w:r w:rsidR="00A2387B">
        <w:rPr>
          <w:sz w:val="22"/>
          <w:szCs w:val="22"/>
        </w:rPr>
        <w:t xml:space="preserve"> </w:t>
      </w:r>
      <w:r w:rsidR="00673997" w:rsidRPr="00007B42">
        <w:rPr>
          <w:sz w:val="22"/>
          <w:szCs w:val="22"/>
        </w:rPr>
        <w:t xml:space="preserve">the </w:t>
      </w:r>
      <w:r w:rsidR="0043211B" w:rsidRPr="00007B42">
        <w:rPr>
          <w:sz w:val="22"/>
          <w:szCs w:val="22"/>
        </w:rPr>
        <w:t>Broadband Infr</w:t>
      </w:r>
      <w:r w:rsidR="004B6868" w:rsidRPr="00007B42">
        <w:rPr>
          <w:sz w:val="22"/>
          <w:szCs w:val="22"/>
        </w:rPr>
        <w:t>a</w:t>
      </w:r>
      <w:r w:rsidR="0043211B" w:rsidRPr="00007B42">
        <w:rPr>
          <w:sz w:val="22"/>
          <w:szCs w:val="22"/>
        </w:rPr>
        <w:t>structure Inventory and Public Awareness in the Caribbean(</w:t>
      </w:r>
      <w:r w:rsidRPr="00007B42">
        <w:rPr>
          <w:sz w:val="22"/>
          <w:szCs w:val="22"/>
        </w:rPr>
        <w:t>BIIPAC</w:t>
      </w:r>
      <w:r w:rsidR="00673997" w:rsidRPr="00007B42">
        <w:rPr>
          <w:sz w:val="22"/>
          <w:szCs w:val="22"/>
        </w:rPr>
        <w:t>) P</w:t>
      </w:r>
      <w:r w:rsidR="0043211B" w:rsidRPr="00007B42">
        <w:rPr>
          <w:sz w:val="22"/>
          <w:szCs w:val="22"/>
        </w:rPr>
        <w:t>roject</w:t>
      </w:r>
      <w:r w:rsidR="00673997" w:rsidRPr="00007B42">
        <w:rPr>
          <w:sz w:val="22"/>
          <w:szCs w:val="22"/>
        </w:rPr>
        <w:t xml:space="preserve">’s inaugural </w:t>
      </w:r>
      <w:r w:rsidR="003F1534" w:rsidRPr="00007B42">
        <w:rPr>
          <w:sz w:val="22"/>
          <w:szCs w:val="22"/>
        </w:rPr>
        <w:t>workshop, which</w:t>
      </w:r>
      <w:r w:rsidR="00673997" w:rsidRPr="00007B42">
        <w:rPr>
          <w:sz w:val="22"/>
          <w:szCs w:val="22"/>
        </w:rPr>
        <w:t xml:space="preserve"> will take place </w:t>
      </w:r>
      <w:r w:rsidR="0043211B" w:rsidRPr="00007B42">
        <w:rPr>
          <w:sz w:val="22"/>
          <w:szCs w:val="22"/>
        </w:rPr>
        <w:t>from January 27 to 29, 2015</w:t>
      </w:r>
      <w:r w:rsidR="004B6868" w:rsidRPr="00007B42">
        <w:rPr>
          <w:sz w:val="22"/>
          <w:szCs w:val="22"/>
        </w:rPr>
        <w:t xml:space="preserve"> at the Torarica Hotel, </w:t>
      </w:r>
      <w:r w:rsidR="004B6868" w:rsidRPr="00007B42">
        <w:rPr>
          <w:bCs/>
          <w:sz w:val="22"/>
          <w:szCs w:val="22"/>
        </w:rPr>
        <w:t>Paramaribo, Suriname</w:t>
      </w:r>
      <w:r w:rsidR="0043211B" w:rsidRPr="00007B42">
        <w:rPr>
          <w:sz w:val="22"/>
          <w:szCs w:val="22"/>
        </w:rPr>
        <w:t xml:space="preserve">. </w:t>
      </w:r>
      <w:r w:rsidR="004B6868" w:rsidRPr="00007B42">
        <w:rPr>
          <w:sz w:val="22"/>
          <w:szCs w:val="22"/>
        </w:rPr>
        <w:t xml:space="preserve">The BIIPAC project is funded by the International Development Bank (IDB) and executed by CANTO. </w:t>
      </w:r>
      <w:r w:rsidR="0043211B" w:rsidRPr="00007B42">
        <w:rPr>
          <w:sz w:val="22"/>
          <w:szCs w:val="22"/>
        </w:rPr>
        <w:t>The event will see the staging of three different workshops.</w:t>
      </w:r>
    </w:p>
    <w:p w:rsidR="0043211B" w:rsidRPr="00007B42" w:rsidRDefault="0043211B" w:rsidP="00007B42">
      <w:pPr>
        <w:jc w:val="both"/>
        <w:rPr>
          <w:sz w:val="22"/>
          <w:szCs w:val="22"/>
        </w:rPr>
      </w:pPr>
    </w:p>
    <w:p w:rsidR="000E748C" w:rsidRDefault="0043211B" w:rsidP="005F1F2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07B42">
        <w:rPr>
          <w:sz w:val="22"/>
          <w:szCs w:val="22"/>
        </w:rPr>
        <w:t xml:space="preserve">The first </w:t>
      </w:r>
      <w:r w:rsidR="007700DF" w:rsidRPr="00007B42">
        <w:rPr>
          <w:sz w:val="22"/>
          <w:szCs w:val="22"/>
        </w:rPr>
        <w:t xml:space="preserve">BIIPAC workshop will be staged </w:t>
      </w:r>
      <w:r w:rsidRPr="00007B42">
        <w:rPr>
          <w:sz w:val="22"/>
          <w:szCs w:val="22"/>
        </w:rPr>
        <w:t xml:space="preserve">on January 27, 2015 </w:t>
      </w:r>
      <w:r w:rsidR="007700DF" w:rsidRPr="00007B42">
        <w:rPr>
          <w:sz w:val="22"/>
          <w:szCs w:val="22"/>
        </w:rPr>
        <w:t xml:space="preserve">and will </w:t>
      </w:r>
      <w:r w:rsidR="005F1F26">
        <w:rPr>
          <w:sz w:val="22"/>
          <w:szCs w:val="22"/>
        </w:rPr>
        <w:t>present the results of</w:t>
      </w:r>
      <w:r w:rsidRPr="00007B42">
        <w:rPr>
          <w:sz w:val="22"/>
          <w:szCs w:val="22"/>
        </w:rPr>
        <w:t xml:space="preserve"> BIIPAC</w:t>
      </w:r>
      <w:r w:rsidR="005F1F26">
        <w:rPr>
          <w:sz w:val="22"/>
          <w:szCs w:val="22"/>
        </w:rPr>
        <w:t>’s</w:t>
      </w:r>
      <w:r w:rsidRPr="00007B42">
        <w:rPr>
          <w:sz w:val="22"/>
          <w:szCs w:val="22"/>
        </w:rPr>
        <w:t xml:space="preserve"> Component 1, entitled “</w:t>
      </w:r>
      <w:r w:rsidR="00007B42">
        <w:rPr>
          <w:b/>
          <w:i/>
          <w:sz w:val="22"/>
          <w:szCs w:val="22"/>
        </w:rPr>
        <w:t>Broadband Diagnostic and I</w:t>
      </w:r>
      <w:r w:rsidRPr="00007B42">
        <w:rPr>
          <w:b/>
          <w:i/>
          <w:sz w:val="22"/>
          <w:szCs w:val="22"/>
        </w:rPr>
        <w:t>nfrastructure maps</w:t>
      </w:r>
      <w:r w:rsidR="007700DF" w:rsidRPr="00007B42">
        <w:rPr>
          <w:sz w:val="22"/>
          <w:szCs w:val="22"/>
        </w:rPr>
        <w:t>”</w:t>
      </w:r>
      <w:r w:rsidRPr="00007B42">
        <w:rPr>
          <w:sz w:val="22"/>
          <w:szCs w:val="22"/>
        </w:rPr>
        <w:t xml:space="preserve">. This workshop will </w:t>
      </w:r>
      <w:r w:rsidR="005F1F26">
        <w:rPr>
          <w:sz w:val="22"/>
          <w:szCs w:val="22"/>
        </w:rPr>
        <w:t>present</w:t>
      </w:r>
      <w:r w:rsidR="007700DF" w:rsidRPr="00007B42">
        <w:rPr>
          <w:sz w:val="22"/>
          <w:szCs w:val="22"/>
        </w:rPr>
        <w:t xml:space="preserve">key factors </w:t>
      </w:r>
      <w:r w:rsidR="005F1F26">
        <w:rPr>
          <w:sz w:val="22"/>
          <w:szCs w:val="22"/>
        </w:rPr>
        <w:t>related</w:t>
      </w:r>
      <w:r w:rsidR="007700DF" w:rsidRPr="00007B42">
        <w:rPr>
          <w:sz w:val="22"/>
          <w:szCs w:val="22"/>
        </w:rPr>
        <w:t xml:space="preserve"> to Broadband connectivity in each </w:t>
      </w:r>
      <w:r w:rsidR="005F1F26" w:rsidRPr="00007B42">
        <w:rPr>
          <w:sz w:val="22"/>
          <w:szCs w:val="22"/>
        </w:rPr>
        <w:t>of the beneficiary countries, namely Trinidad and Tobago, Jamaica, Barbados, Dominican Republic, Belize, Guyana, Suriname and Haiti.</w:t>
      </w:r>
      <w:r w:rsidR="005F1F26">
        <w:rPr>
          <w:sz w:val="22"/>
          <w:szCs w:val="22"/>
        </w:rPr>
        <w:t xml:space="preserve"> T</w:t>
      </w:r>
      <w:r w:rsidR="007700DF" w:rsidRPr="005F1F26">
        <w:rPr>
          <w:sz w:val="22"/>
          <w:szCs w:val="22"/>
        </w:rPr>
        <w:t xml:space="preserve">he </w:t>
      </w:r>
      <w:r w:rsidR="005F1F26">
        <w:rPr>
          <w:sz w:val="22"/>
          <w:szCs w:val="22"/>
        </w:rPr>
        <w:t>status</w:t>
      </w:r>
      <w:r w:rsidR="007700DF" w:rsidRPr="005F1F26">
        <w:rPr>
          <w:sz w:val="22"/>
          <w:szCs w:val="22"/>
        </w:rPr>
        <w:t xml:space="preserve"> of the broadband infrastructure mapsfor </w:t>
      </w:r>
      <w:r w:rsidRPr="005F1F26">
        <w:rPr>
          <w:sz w:val="22"/>
          <w:szCs w:val="22"/>
        </w:rPr>
        <w:t xml:space="preserve">each </w:t>
      </w:r>
      <w:r w:rsidR="005F1F26">
        <w:rPr>
          <w:sz w:val="22"/>
          <w:szCs w:val="22"/>
        </w:rPr>
        <w:t>country will also be discussed.</w:t>
      </w:r>
    </w:p>
    <w:p w:rsidR="00337828" w:rsidRPr="005F1F26" w:rsidRDefault="00337828" w:rsidP="00337828">
      <w:pPr>
        <w:pStyle w:val="ListParagraph"/>
        <w:jc w:val="both"/>
        <w:rPr>
          <w:sz w:val="22"/>
          <w:szCs w:val="22"/>
        </w:rPr>
      </w:pPr>
    </w:p>
    <w:p w:rsidR="00C55013" w:rsidRPr="00337828" w:rsidRDefault="007700DF" w:rsidP="00007B42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007B42">
        <w:rPr>
          <w:sz w:val="22"/>
          <w:szCs w:val="22"/>
        </w:rPr>
        <w:t xml:space="preserve">The second BIIPAC workshop will be </w:t>
      </w:r>
      <w:r w:rsidR="00673997" w:rsidRPr="00007B42">
        <w:rPr>
          <w:sz w:val="22"/>
          <w:szCs w:val="22"/>
        </w:rPr>
        <w:t>held</w:t>
      </w:r>
      <w:r w:rsidRPr="00007B42">
        <w:rPr>
          <w:sz w:val="22"/>
          <w:szCs w:val="22"/>
        </w:rPr>
        <w:t xml:space="preserve"> on January 28, 2015 and will </w:t>
      </w:r>
      <w:r w:rsidR="00673997" w:rsidRPr="00007B42">
        <w:rPr>
          <w:sz w:val="22"/>
          <w:szCs w:val="22"/>
        </w:rPr>
        <w:t>feature</w:t>
      </w:r>
      <w:r w:rsidRPr="00007B42">
        <w:rPr>
          <w:sz w:val="22"/>
          <w:szCs w:val="22"/>
        </w:rPr>
        <w:t xml:space="preserve"> BIIPAC</w:t>
      </w:r>
      <w:r w:rsidR="005F1F26">
        <w:rPr>
          <w:sz w:val="22"/>
          <w:szCs w:val="22"/>
        </w:rPr>
        <w:t>’s</w:t>
      </w:r>
      <w:r w:rsidRPr="00007B42">
        <w:rPr>
          <w:sz w:val="22"/>
          <w:szCs w:val="22"/>
        </w:rPr>
        <w:t xml:space="preserve"> Component 2, </w:t>
      </w:r>
      <w:r w:rsidR="00A2387B" w:rsidRPr="00007B42">
        <w:rPr>
          <w:sz w:val="22"/>
          <w:szCs w:val="22"/>
        </w:rPr>
        <w:t>entitled “</w:t>
      </w:r>
      <w:r w:rsidR="00007B42">
        <w:rPr>
          <w:b/>
          <w:i/>
          <w:sz w:val="22"/>
          <w:szCs w:val="22"/>
        </w:rPr>
        <w:t>Review of Legal and Regulatory Frameworks and Current Sector T</w:t>
      </w:r>
      <w:r w:rsidRPr="00007B42">
        <w:rPr>
          <w:b/>
          <w:i/>
          <w:sz w:val="22"/>
          <w:szCs w:val="22"/>
        </w:rPr>
        <w:t>rends</w:t>
      </w:r>
      <w:r w:rsidRPr="00007B42">
        <w:rPr>
          <w:sz w:val="22"/>
          <w:szCs w:val="22"/>
        </w:rPr>
        <w:t xml:space="preserve">”. This workshop will </w:t>
      </w:r>
      <w:r w:rsidR="00C55013" w:rsidRPr="00007B42">
        <w:rPr>
          <w:sz w:val="22"/>
          <w:szCs w:val="22"/>
        </w:rPr>
        <w:t>explore Caribbean broadband opportunities</w:t>
      </w:r>
      <w:r w:rsidR="005F1F26">
        <w:rPr>
          <w:sz w:val="22"/>
          <w:szCs w:val="22"/>
        </w:rPr>
        <w:t xml:space="preserve"> for each beneficiary country</w:t>
      </w:r>
      <w:r w:rsidR="00C55013" w:rsidRPr="00007B42">
        <w:rPr>
          <w:sz w:val="22"/>
          <w:szCs w:val="22"/>
        </w:rPr>
        <w:t>, taking a look at policies and regulation for access and services.</w:t>
      </w:r>
    </w:p>
    <w:p w:rsidR="00337828" w:rsidRPr="00337828" w:rsidRDefault="00337828" w:rsidP="00337828">
      <w:pPr>
        <w:pStyle w:val="ListParagraph"/>
        <w:rPr>
          <w:b/>
          <w:sz w:val="22"/>
          <w:szCs w:val="22"/>
        </w:rPr>
      </w:pPr>
    </w:p>
    <w:p w:rsidR="00337828" w:rsidRPr="00007B42" w:rsidRDefault="00337828" w:rsidP="00337828">
      <w:pPr>
        <w:pStyle w:val="ListParagraph"/>
        <w:jc w:val="both"/>
        <w:rPr>
          <w:b/>
          <w:sz w:val="22"/>
          <w:szCs w:val="22"/>
        </w:rPr>
      </w:pPr>
    </w:p>
    <w:p w:rsidR="00C55013" w:rsidRPr="00007B42" w:rsidRDefault="005F1F26" w:rsidP="00007B42">
      <w:pPr>
        <w:pStyle w:val="ListParagraph"/>
        <w:numPr>
          <w:ilvl w:val="0"/>
          <w:numId w:val="3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5013" w:rsidRPr="00007B42">
        <w:rPr>
          <w:sz w:val="22"/>
          <w:szCs w:val="22"/>
        </w:rPr>
        <w:t>final BIIPAC works</w:t>
      </w:r>
      <w:r w:rsidR="00673997" w:rsidRPr="00007B42">
        <w:rPr>
          <w:sz w:val="22"/>
          <w:szCs w:val="22"/>
        </w:rPr>
        <w:t xml:space="preserve">hop will take place </w:t>
      </w:r>
      <w:r w:rsidR="00C55013" w:rsidRPr="00007B42">
        <w:rPr>
          <w:sz w:val="22"/>
          <w:szCs w:val="22"/>
        </w:rPr>
        <w:t>on January 29, 2015 and will focus on BIIPAC</w:t>
      </w:r>
      <w:r>
        <w:rPr>
          <w:sz w:val="22"/>
          <w:szCs w:val="22"/>
        </w:rPr>
        <w:t>’s</w:t>
      </w:r>
      <w:r w:rsidR="00337828">
        <w:rPr>
          <w:sz w:val="22"/>
          <w:szCs w:val="22"/>
        </w:rPr>
        <w:t xml:space="preserve"> Component 3, entitled </w:t>
      </w:r>
      <w:r w:rsidR="00C55013" w:rsidRPr="00007B42">
        <w:rPr>
          <w:sz w:val="22"/>
          <w:szCs w:val="22"/>
        </w:rPr>
        <w:t>“</w:t>
      </w:r>
      <w:r w:rsidR="00C55013" w:rsidRPr="00007B42">
        <w:rPr>
          <w:b/>
          <w:i/>
          <w:sz w:val="22"/>
          <w:szCs w:val="22"/>
        </w:rPr>
        <w:t>ICT Awareness and Capacity Building Programs</w:t>
      </w:r>
      <w:r w:rsidR="00C55013" w:rsidRPr="00007B42">
        <w:rPr>
          <w:sz w:val="22"/>
          <w:szCs w:val="22"/>
        </w:rPr>
        <w:t>”. This workshop will</w:t>
      </w:r>
      <w:r w:rsidR="00AA5388" w:rsidRPr="00007B42">
        <w:rPr>
          <w:sz w:val="22"/>
          <w:szCs w:val="22"/>
        </w:rPr>
        <w:t xml:space="preserve"> probe topic areas such as</w:t>
      </w:r>
      <w:r w:rsidR="00C55013" w:rsidRPr="00007B42">
        <w:rPr>
          <w:i/>
          <w:sz w:val="22"/>
          <w:szCs w:val="22"/>
        </w:rPr>
        <w:t>Legal and Regulatory Frameworks for Broadband in the Context of ICT Network Convergence</w:t>
      </w:r>
      <w:r w:rsidR="00AA5388" w:rsidRPr="00007B42">
        <w:rPr>
          <w:sz w:val="22"/>
          <w:szCs w:val="22"/>
        </w:rPr>
        <w:t xml:space="preserve">and </w:t>
      </w:r>
      <w:r w:rsidR="00AA5388" w:rsidRPr="00007B42">
        <w:rPr>
          <w:i/>
          <w:sz w:val="22"/>
          <w:szCs w:val="22"/>
        </w:rPr>
        <w:t xml:space="preserve">Emerging Competition </w:t>
      </w:r>
      <w:r w:rsidR="00AA5388" w:rsidRPr="005F1F26">
        <w:rPr>
          <w:sz w:val="22"/>
          <w:szCs w:val="22"/>
        </w:rPr>
        <w:t>and</w:t>
      </w:r>
      <w:r w:rsidR="00AA5388" w:rsidRPr="00007B42">
        <w:rPr>
          <w:i/>
          <w:sz w:val="22"/>
          <w:szCs w:val="22"/>
        </w:rPr>
        <w:t xml:space="preserve"> Affordability Issues Impacting Access to Broadband Networks &amp; Services</w:t>
      </w:r>
      <w:r w:rsidR="00673997" w:rsidRPr="00007B42">
        <w:rPr>
          <w:i/>
          <w:sz w:val="22"/>
          <w:szCs w:val="22"/>
        </w:rPr>
        <w:t xml:space="preserve">, </w:t>
      </w:r>
      <w:r w:rsidR="00673997" w:rsidRPr="00007B42">
        <w:rPr>
          <w:sz w:val="22"/>
          <w:szCs w:val="22"/>
        </w:rPr>
        <w:t>again for all eight BIIPAC beneficiary countries</w:t>
      </w:r>
      <w:r w:rsidR="00007B42">
        <w:rPr>
          <w:sz w:val="22"/>
          <w:szCs w:val="22"/>
        </w:rPr>
        <w:t>.</w:t>
      </w:r>
    </w:p>
    <w:p w:rsidR="00673997" w:rsidRPr="00007B42" w:rsidRDefault="00673997" w:rsidP="00007B42">
      <w:pPr>
        <w:jc w:val="both"/>
        <w:rPr>
          <w:sz w:val="22"/>
          <w:szCs w:val="22"/>
        </w:rPr>
      </w:pPr>
    </w:p>
    <w:p w:rsidR="005F1F26" w:rsidRDefault="003F1534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 xml:space="preserve">The workshops for </w:t>
      </w:r>
      <w:r w:rsidR="00936982">
        <w:rPr>
          <w:sz w:val="22"/>
          <w:szCs w:val="22"/>
        </w:rPr>
        <w:t xml:space="preserve">BIIPAC’s </w:t>
      </w:r>
      <w:r w:rsidRPr="00007B42">
        <w:rPr>
          <w:sz w:val="22"/>
          <w:szCs w:val="22"/>
        </w:rPr>
        <w:t xml:space="preserve">Components 2 and 3 will also feature expert practitioner guest speakers who will share best practices related to </w:t>
      </w:r>
      <w:r w:rsidR="005F1F26">
        <w:rPr>
          <w:sz w:val="22"/>
          <w:szCs w:val="22"/>
        </w:rPr>
        <w:t>issues at the heart of capitalizing on Caribbean Broadband opportunities</w:t>
      </w:r>
      <w:r w:rsidRPr="00007B42">
        <w:rPr>
          <w:sz w:val="22"/>
          <w:szCs w:val="22"/>
        </w:rPr>
        <w:t xml:space="preserve">. </w:t>
      </w:r>
      <w:r w:rsidR="007217E7" w:rsidRPr="007217E7">
        <w:rPr>
          <w:b/>
          <w:i/>
          <w:sz w:val="22"/>
          <w:szCs w:val="22"/>
        </w:rPr>
        <w:t xml:space="preserve">Regulators and Policy Makers are specifically invited to share in and gain from this </w:t>
      </w:r>
      <w:r w:rsidR="00936982">
        <w:rPr>
          <w:b/>
          <w:i/>
          <w:sz w:val="22"/>
          <w:szCs w:val="22"/>
        </w:rPr>
        <w:t xml:space="preserve">3 day </w:t>
      </w:r>
      <w:r w:rsidR="007217E7" w:rsidRPr="007217E7">
        <w:rPr>
          <w:b/>
          <w:i/>
          <w:sz w:val="22"/>
          <w:szCs w:val="22"/>
        </w:rPr>
        <w:t>workshop.</w:t>
      </w:r>
      <w:r w:rsidR="007217E7">
        <w:rPr>
          <w:sz w:val="22"/>
          <w:szCs w:val="22"/>
        </w:rPr>
        <w:t xml:space="preserve"> We </w:t>
      </w:r>
      <w:r w:rsidR="00936982">
        <w:rPr>
          <w:sz w:val="22"/>
          <w:szCs w:val="22"/>
        </w:rPr>
        <w:t xml:space="preserve">further </w:t>
      </w:r>
      <w:r w:rsidR="007217E7">
        <w:rPr>
          <w:sz w:val="22"/>
          <w:szCs w:val="22"/>
        </w:rPr>
        <w:t>encourage one and all to please forward this invitation to fellow ICT Stakeholders whom you believe would benefit from the discourse. Thank you. A</w:t>
      </w:r>
      <w:r w:rsidRPr="00007B42">
        <w:rPr>
          <w:sz w:val="22"/>
          <w:szCs w:val="22"/>
        </w:rPr>
        <w:t>ttendance at this worksh</w:t>
      </w:r>
      <w:r w:rsidR="007217E7">
        <w:rPr>
          <w:sz w:val="22"/>
          <w:szCs w:val="22"/>
        </w:rPr>
        <w:t xml:space="preserve">op will bring value </w:t>
      </w:r>
      <w:r w:rsidR="003C4D90" w:rsidRPr="00007B42">
        <w:rPr>
          <w:sz w:val="22"/>
          <w:szCs w:val="22"/>
        </w:rPr>
        <w:t>through</w:t>
      </w:r>
      <w:r w:rsidR="005F1F26">
        <w:rPr>
          <w:sz w:val="22"/>
          <w:szCs w:val="22"/>
        </w:rPr>
        <w:t>:</w:t>
      </w:r>
    </w:p>
    <w:p w:rsidR="005F1F26" w:rsidRDefault="003F1534" w:rsidP="005F1F2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F1F26">
        <w:rPr>
          <w:sz w:val="22"/>
          <w:szCs w:val="22"/>
        </w:rPr>
        <w:t xml:space="preserve">the insight </w:t>
      </w:r>
      <w:r w:rsidR="003C4D90" w:rsidRPr="005F1F26">
        <w:rPr>
          <w:sz w:val="22"/>
          <w:szCs w:val="22"/>
        </w:rPr>
        <w:t xml:space="preserve">which will be shared by your Caribbean colleagues related to how we can make the necessary steps to increase broadband penetration and access for our region’s citizenry, </w:t>
      </w:r>
    </w:p>
    <w:p w:rsidR="005F1F26" w:rsidRDefault="003C4D90" w:rsidP="005F1F2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F1F26">
        <w:rPr>
          <w:sz w:val="22"/>
          <w:szCs w:val="22"/>
        </w:rPr>
        <w:t xml:space="preserve">the networking opportunities and </w:t>
      </w:r>
    </w:p>
    <w:p w:rsidR="00673997" w:rsidRPr="005F1F26" w:rsidRDefault="003C4D90" w:rsidP="005F1F2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5F1F26">
        <w:rPr>
          <w:sz w:val="22"/>
          <w:szCs w:val="22"/>
        </w:rPr>
        <w:t>the opportunity presented for you to tangibly contribute to the worthwhile goals of the BIIPAC project.</w:t>
      </w:r>
    </w:p>
    <w:p w:rsidR="003F1534" w:rsidRDefault="003F1534" w:rsidP="00007B42">
      <w:pPr>
        <w:jc w:val="both"/>
        <w:rPr>
          <w:sz w:val="22"/>
          <w:szCs w:val="22"/>
        </w:rPr>
      </w:pPr>
    </w:p>
    <w:p w:rsidR="00337828" w:rsidRPr="00007B42" w:rsidRDefault="00A2387B" w:rsidP="00FB167C">
      <w:pPr>
        <w:ind w:left="6480"/>
        <w:jc w:val="both"/>
        <w:rPr>
          <w:sz w:val="22"/>
          <w:szCs w:val="22"/>
        </w:rPr>
      </w:pPr>
      <w:r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-1016000</wp:posOffset>
                </wp:positionH>
                <wp:positionV relativeFrom="paragraph">
                  <wp:posOffset>204470</wp:posOffset>
                </wp:positionV>
                <wp:extent cx="7305040" cy="1056640"/>
                <wp:effectExtent l="3175" t="444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04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828" w:rsidRDefault="00337828" w:rsidP="00337828">
                            <w:pPr>
                              <w:spacing w:line="220" w:lineRule="exact"/>
                              <w:jc w:val="both"/>
                              <w:rPr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Directors</w:t>
                            </w:r>
                          </w:p>
                          <w:p w:rsidR="00337828" w:rsidRDefault="00337828" w:rsidP="00337828">
                            <w:pPr>
                              <w:spacing w:line="220" w:lineRule="exact"/>
                              <w:jc w:val="both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  <w:t>Mr. Dirk Currie – Chairman, Telecommunicatiebedrijf, Suriname; Mrs. Helma Etnel – Ag. Vice Chair;  TELEM Group, Sint. Maarten; Mr. Rafael Marin, Belize Telemedia Ltd. Belize; Mr. Davidson Charles – Treasurer, Cable &amp; Wireless Antigua &amp; Barbuda Ltd, Antigua &amp; Barbuda; Mr.  John Reid  -  Flow – Columbus Trinidad Limited; Mr. Tim Heffernan; Cable &amp; Wireless Grenada Ltd.; Mr. Charles Carter, Telecommunications Services of Trinidad &amp; Tobago;  Mr. Julian Wilkins – Digicel Trinidad &amp; Tobago Ltd.; Mr. E. Jay Saunders – Digicel Turks &amp; Caicos;  Ms. Regenie Fräser – CANTO Secretary General, Trinidad &amp; Tobago</w:t>
                            </w:r>
                          </w:p>
                          <w:p w:rsidR="00337828" w:rsidRDefault="00337828" w:rsidP="00337828"/>
                          <w:p w:rsidR="00337828" w:rsidRDefault="00337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80pt;margin-top:16.1pt;width:575.2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+FgwIAABc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" stroked="f">
                <v:textbox>
                  <w:txbxContent>
                    <w:p w:rsidR="00337828" w:rsidRDefault="00337828" w:rsidP="00337828">
                      <w:pPr>
                        <w:spacing w:line="220" w:lineRule="exact"/>
                        <w:jc w:val="both"/>
                        <w:rPr>
                          <w:b/>
                          <w:bCs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16"/>
                          <w:szCs w:val="16"/>
                        </w:rPr>
                        <w:t>Directors</w:t>
                      </w:r>
                    </w:p>
                    <w:p w:rsidR="00337828" w:rsidRDefault="00337828" w:rsidP="00337828">
                      <w:pPr>
                        <w:spacing w:line="220" w:lineRule="exact"/>
                        <w:jc w:val="both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80"/>
                          <w:sz w:val="16"/>
                          <w:szCs w:val="16"/>
                        </w:rPr>
                        <w:t>Mr. Dirk Currie – Chairman, Telecommunicatiebedrijf, Suriname; Mrs. Helma Etnel – Ag. Vice Chair;  TELEM Group, Sint. Maarten; Mr. Rafael Marin, Belize Telemedia Ltd. Belize; Mr. Davidson Charles – Treasurer, Cable &amp; Wireless Antigua &amp; Barbuda Ltd, Antigua &amp; Barbuda; Mr.  John Reid  -  Flow – Columbus Trinidad Limited; Mr. Tim Heffernan; Cable &amp; Wireless Grenada Ltd.; Mr. Charles Carter, Telecommunications Services of Trinidad &amp; Tobago;  Mr. Julian Wilkins – Digicel Trinidad &amp; Tobago Ltd.; Mr. E. Jay Saunders – Digicel Turks &amp; Caicos;  Ms. Regenie Fräser – CANTO Secretary General, Trinidad &amp; Tobago</w:t>
                      </w:r>
                    </w:p>
                    <w:p w:rsidR="00337828" w:rsidRDefault="00337828" w:rsidP="00337828"/>
                    <w:p w:rsidR="00337828" w:rsidRDefault="00337828"/>
                  </w:txbxContent>
                </v:textbox>
              </v:shape>
            </w:pict>
          </mc:Fallback>
        </mc:AlternateContent>
      </w:r>
      <w:r w:rsidR="00FB167C">
        <w:rPr>
          <w:sz w:val="22"/>
          <w:szCs w:val="22"/>
        </w:rPr>
        <w:t>/2…..</w:t>
      </w:r>
    </w:p>
    <w:p w:rsidR="00FB167C" w:rsidRDefault="00FB167C" w:rsidP="00007B42">
      <w:pPr>
        <w:contextualSpacing/>
        <w:jc w:val="both"/>
        <w:rPr>
          <w:sz w:val="22"/>
          <w:szCs w:val="22"/>
        </w:rPr>
      </w:pPr>
    </w:p>
    <w:p w:rsidR="00FB167C" w:rsidRDefault="00A2387B" w:rsidP="00007B42">
      <w:pPr>
        <w:contextualSpacing/>
        <w:jc w:val="both"/>
        <w:rPr>
          <w:sz w:val="22"/>
          <w:szCs w:val="22"/>
        </w:rPr>
      </w:pPr>
      <w:r>
        <w:rPr>
          <w:noProof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-772160</wp:posOffset>
                </wp:positionH>
                <wp:positionV relativeFrom="paragraph">
                  <wp:posOffset>-838200</wp:posOffset>
                </wp:positionV>
                <wp:extent cx="1071880" cy="563880"/>
                <wp:effectExtent l="0" t="0" r="0" b="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67C" w:rsidRDefault="00FB167C" w:rsidP="001378E1">
                            <w:pPr>
                              <w:contextualSpacing/>
                              <w:jc w:val="both"/>
                            </w:pPr>
                            <w:r w:rsidRPr="00FB167C">
                              <w:rPr>
                                <w:noProof/>
                                <w:lang w:val="es-VE" w:eastAsia="es-VE"/>
                              </w:rPr>
                              <w:drawing>
                                <wp:inline distT="0" distB="0" distL="0" distR="0">
                                  <wp:extent cx="879475" cy="539876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nto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9475" cy="539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60.8pt;margin-top:-66pt;width:84.4pt;height: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e3gwIAABY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" stroked="f">
                <v:textbox>
                  <w:txbxContent>
                    <w:p w:rsidR="00FB167C" w:rsidRDefault="00FB167C" w:rsidP="001378E1">
                      <w:pPr>
                        <w:contextualSpacing/>
                        <w:jc w:val="both"/>
                      </w:pPr>
                      <w:r w:rsidRPr="00FB167C"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>
                            <wp:extent cx="879475" cy="539876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nto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9475" cy="539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1534" w:rsidRPr="00007B42" w:rsidRDefault="003F1534" w:rsidP="00007B42">
      <w:pPr>
        <w:contextualSpacing/>
        <w:jc w:val="both"/>
        <w:rPr>
          <w:b/>
          <w:bCs/>
          <w:i/>
          <w:iCs/>
          <w:sz w:val="22"/>
          <w:szCs w:val="22"/>
        </w:rPr>
      </w:pPr>
      <w:r w:rsidRPr="00007B42">
        <w:rPr>
          <w:sz w:val="22"/>
          <w:szCs w:val="22"/>
        </w:rPr>
        <w:t>The cutoff d</w:t>
      </w:r>
      <w:r w:rsidR="005F1F26">
        <w:rPr>
          <w:sz w:val="22"/>
          <w:szCs w:val="22"/>
        </w:rPr>
        <w:t>ate for hotel reservations is</w:t>
      </w:r>
      <w:r w:rsidRPr="00007B42">
        <w:rPr>
          <w:sz w:val="22"/>
          <w:szCs w:val="22"/>
        </w:rPr>
        <w:t xml:space="preserve"> January</w:t>
      </w:r>
      <w:r w:rsidR="005F1F26">
        <w:rPr>
          <w:sz w:val="22"/>
          <w:szCs w:val="22"/>
        </w:rPr>
        <w:t xml:space="preserve"> 13</w:t>
      </w:r>
      <w:r w:rsidRPr="00007B42">
        <w:rPr>
          <w:sz w:val="22"/>
          <w:szCs w:val="22"/>
        </w:rPr>
        <w:t>, 2015. Kindly note that all updated meet</w:t>
      </w:r>
      <w:r w:rsidR="005F1F26">
        <w:rPr>
          <w:sz w:val="22"/>
          <w:szCs w:val="22"/>
        </w:rPr>
        <w:t>ing documents will be posted on</w:t>
      </w:r>
      <w:r w:rsidRPr="00007B42">
        <w:rPr>
          <w:sz w:val="22"/>
          <w:szCs w:val="22"/>
        </w:rPr>
        <w:t xml:space="preserve">line and </w:t>
      </w:r>
      <w:r w:rsidR="00D72055" w:rsidRPr="00007B42">
        <w:rPr>
          <w:sz w:val="22"/>
          <w:szCs w:val="22"/>
        </w:rPr>
        <w:t>will</w:t>
      </w:r>
      <w:r w:rsidRPr="00007B42">
        <w:rPr>
          <w:sz w:val="22"/>
          <w:szCs w:val="22"/>
        </w:rPr>
        <w:t xml:space="preserve"> not be distributed at the </w:t>
      </w:r>
      <w:r w:rsidR="005F1F26">
        <w:rPr>
          <w:sz w:val="22"/>
          <w:szCs w:val="22"/>
        </w:rPr>
        <w:t>workshop</w:t>
      </w:r>
      <w:r w:rsidRPr="00007B42">
        <w:rPr>
          <w:sz w:val="22"/>
          <w:szCs w:val="22"/>
        </w:rPr>
        <w:t xml:space="preserve">. </w:t>
      </w:r>
      <w:r w:rsidRPr="00007B42">
        <w:rPr>
          <w:b/>
          <w:bCs/>
          <w:i/>
          <w:iCs/>
          <w:sz w:val="22"/>
          <w:szCs w:val="22"/>
        </w:rPr>
        <w:t xml:space="preserve">You are encouraged to book your respective flights and hotel accommodations as soon as possible, due to the peak season at the hotel. </w:t>
      </w:r>
      <w:hyperlink r:id="rId9" w:history="1">
        <w:r w:rsidRPr="00A2387B">
          <w:rPr>
            <w:rStyle w:val="Hyperlink"/>
            <w:b/>
            <w:bCs/>
            <w:i/>
            <w:iCs/>
            <w:sz w:val="22"/>
            <w:szCs w:val="22"/>
          </w:rPr>
          <w:t>Please</w:t>
        </w:r>
        <w:r w:rsidR="00D72055" w:rsidRPr="00A2387B">
          <w:rPr>
            <w:rStyle w:val="Hyperlink"/>
            <w:b/>
            <w:bCs/>
            <w:i/>
            <w:iCs/>
            <w:sz w:val="22"/>
            <w:szCs w:val="22"/>
          </w:rPr>
          <w:t xml:space="preserve"> also</w:t>
        </w:r>
        <w:r w:rsidRPr="00A2387B">
          <w:rPr>
            <w:rStyle w:val="Hyperlink"/>
            <w:b/>
            <w:bCs/>
            <w:i/>
            <w:iCs/>
            <w:sz w:val="22"/>
            <w:szCs w:val="22"/>
          </w:rPr>
          <w:t xml:space="preserve"> check whether a visa will be required for your travel to Suriname</w:t>
        </w:r>
      </w:hyperlink>
      <w:r w:rsidR="00A2387B" w:rsidRPr="00A2387B">
        <w:rPr>
          <w:b/>
          <w:bCs/>
          <w:i/>
          <w:iCs/>
          <w:color w:val="000000" w:themeColor="text1"/>
          <w:sz w:val="22"/>
          <w:szCs w:val="22"/>
        </w:rPr>
        <w:t>.</w:t>
      </w:r>
      <w:r w:rsidRPr="00936982">
        <w:rPr>
          <w:b/>
          <w:bCs/>
          <w:i/>
          <w:iCs/>
          <w:color w:val="FF0000"/>
          <w:sz w:val="22"/>
          <w:szCs w:val="22"/>
        </w:rPr>
        <w:t xml:space="preserve"> </w:t>
      </w:r>
      <w:r w:rsidRPr="00007B42">
        <w:rPr>
          <w:b/>
          <w:bCs/>
          <w:i/>
          <w:iCs/>
          <w:sz w:val="22"/>
          <w:szCs w:val="22"/>
        </w:rPr>
        <w:t xml:space="preserve">We are looking forward to receiving your </w:t>
      </w:r>
      <w:r w:rsidR="00B846E5" w:rsidRPr="00007B42">
        <w:rPr>
          <w:b/>
          <w:bCs/>
          <w:i/>
          <w:iCs/>
          <w:sz w:val="22"/>
          <w:szCs w:val="22"/>
        </w:rPr>
        <w:t>BIIPAC Workshop Registration Form</w:t>
      </w:r>
      <w:r w:rsidR="00CC179A">
        <w:rPr>
          <w:b/>
          <w:bCs/>
          <w:i/>
          <w:iCs/>
          <w:sz w:val="22"/>
          <w:szCs w:val="22"/>
        </w:rPr>
        <w:t>, accessible at</w:t>
      </w:r>
      <w:r w:rsidR="005D62F0">
        <w:rPr>
          <w:b/>
          <w:bCs/>
          <w:i/>
          <w:iCs/>
          <w:sz w:val="22"/>
          <w:szCs w:val="22"/>
        </w:rPr>
        <w:t xml:space="preserve"> </w:t>
      </w:r>
      <w:hyperlink r:id="rId10" w:history="1">
        <w:r w:rsidR="00CC179A" w:rsidRPr="003629BC">
          <w:rPr>
            <w:rStyle w:val="Hyperlink"/>
            <w:b/>
            <w:bCs/>
            <w:i/>
            <w:iCs/>
            <w:sz w:val="22"/>
            <w:szCs w:val="22"/>
          </w:rPr>
          <w:t>http://canto.org/wp-content/uploads/2013/02/BIIPAC-Jan-2015-Registration-Form.doc</w:t>
        </w:r>
      </w:hyperlink>
      <w:r w:rsidR="00CC179A">
        <w:rPr>
          <w:b/>
          <w:bCs/>
          <w:i/>
          <w:iCs/>
          <w:sz w:val="22"/>
          <w:szCs w:val="22"/>
        </w:rPr>
        <w:t xml:space="preserve">, </w:t>
      </w:r>
      <w:r w:rsidR="00D72055" w:rsidRPr="00007B42">
        <w:rPr>
          <w:b/>
          <w:bCs/>
          <w:i/>
          <w:iCs/>
          <w:sz w:val="22"/>
          <w:szCs w:val="22"/>
        </w:rPr>
        <w:t>by the 13</w:t>
      </w:r>
      <w:r w:rsidRPr="00007B42">
        <w:rPr>
          <w:b/>
          <w:bCs/>
          <w:i/>
          <w:iCs/>
          <w:sz w:val="22"/>
          <w:szCs w:val="22"/>
          <w:vertAlign w:val="superscript"/>
        </w:rPr>
        <w:t>th</w:t>
      </w:r>
      <w:r w:rsidR="00B846E5" w:rsidRPr="00007B42">
        <w:rPr>
          <w:b/>
          <w:bCs/>
          <w:i/>
          <w:iCs/>
          <w:sz w:val="22"/>
          <w:szCs w:val="22"/>
        </w:rPr>
        <w:t xml:space="preserve"> of</w:t>
      </w:r>
      <w:r w:rsidR="00FB167C">
        <w:rPr>
          <w:b/>
          <w:bCs/>
          <w:i/>
          <w:iCs/>
          <w:sz w:val="22"/>
          <w:szCs w:val="22"/>
        </w:rPr>
        <w:t xml:space="preserve"> </w:t>
      </w:r>
      <w:r w:rsidRPr="00007B42">
        <w:rPr>
          <w:b/>
          <w:bCs/>
          <w:i/>
          <w:iCs/>
          <w:sz w:val="22"/>
          <w:szCs w:val="22"/>
        </w:rPr>
        <w:t xml:space="preserve">January, 2015. </w:t>
      </w:r>
    </w:p>
    <w:p w:rsidR="00B846E5" w:rsidRPr="00007B42" w:rsidRDefault="00B846E5" w:rsidP="00007B42">
      <w:pPr>
        <w:jc w:val="both"/>
        <w:rPr>
          <w:sz w:val="22"/>
          <w:szCs w:val="22"/>
        </w:rPr>
      </w:pPr>
    </w:p>
    <w:p w:rsidR="003F1534" w:rsidRPr="00007B42" w:rsidRDefault="00B846E5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>T</w:t>
      </w:r>
      <w:r w:rsidR="003F1534" w:rsidRPr="00007B42">
        <w:rPr>
          <w:sz w:val="22"/>
          <w:szCs w:val="22"/>
        </w:rPr>
        <w:t>he Board of Directors</w:t>
      </w:r>
      <w:r w:rsidRPr="00007B42">
        <w:rPr>
          <w:sz w:val="22"/>
          <w:szCs w:val="22"/>
        </w:rPr>
        <w:t xml:space="preserve"> of CANTO</w:t>
      </w:r>
      <w:r w:rsidR="003F1534" w:rsidRPr="00007B42">
        <w:rPr>
          <w:sz w:val="22"/>
          <w:szCs w:val="22"/>
        </w:rPr>
        <w:t xml:space="preserve">, </w:t>
      </w:r>
      <w:r w:rsidRPr="00007B42">
        <w:rPr>
          <w:sz w:val="22"/>
          <w:szCs w:val="22"/>
        </w:rPr>
        <w:t xml:space="preserve">the BIIPAC Regional Coordinator, Ayanna Samuels, and </w:t>
      </w:r>
      <w:r w:rsidR="003F1534" w:rsidRPr="00007B42">
        <w:rPr>
          <w:sz w:val="22"/>
          <w:szCs w:val="22"/>
        </w:rPr>
        <w:t>I would like to take this opportunity to wish you a successful and prosperous year in 2015</w:t>
      </w:r>
      <w:r w:rsidR="00A2387B">
        <w:rPr>
          <w:sz w:val="22"/>
          <w:szCs w:val="22"/>
        </w:rPr>
        <w:t>. We</w:t>
      </w:r>
      <w:r w:rsidR="003F1534" w:rsidRPr="00007B42">
        <w:rPr>
          <w:sz w:val="22"/>
          <w:szCs w:val="22"/>
        </w:rPr>
        <w:t xml:space="preserve"> urge you to attend </w:t>
      </w:r>
      <w:r w:rsidRPr="00007B42">
        <w:rPr>
          <w:sz w:val="22"/>
          <w:szCs w:val="22"/>
        </w:rPr>
        <w:t>both the</w:t>
      </w:r>
      <w:r w:rsidR="00A2387B">
        <w:rPr>
          <w:sz w:val="22"/>
          <w:szCs w:val="22"/>
        </w:rPr>
        <w:t xml:space="preserve"> </w:t>
      </w:r>
      <w:r w:rsidRPr="00007B42">
        <w:rPr>
          <w:sz w:val="22"/>
          <w:szCs w:val="22"/>
        </w:rPr>
        <w:t xml:space="preserve">CANTO </w:t>
      </w:r>
      <w:r w:rsidR="003F1534" w:rsidRPr="00007B42">
        <w:rPr>
          <w:sz w:val="22"/>
          <w:szCs w:val="22"/>
        </w:rPr>
        <w:t>31st AGM and</w:t>
      </w:r>
      <w:r w:rsidRPr="00007B42">
        <w:rPr>
          <w:sz w:val="22"/>
          <w:szCs w:val="22"/>
        </w:rPr>
        <w:t xml:space="preserve"> the BIIPAC </w:t>
      </w:r>
      <w:r w:rsidR="00A2387B" w:rsidRPr="00007B42">
        <w:rPr>
          <w:sz w:val="22"/>
          <w:szCs w:val="22"/>
        </w:rPr>
        <w:t>Workshop</w:t>
      </w:r>
      <w:r w:rsidR="00A2387B">
        <w:rPr>
          <w:sz w:val="22"/>
          <w:szCs w:val="22"/>
        </w:rPr>
        <w:t xml:space="preserve"> January</w:t>
      </w:r>
      <w:r w:rsidR="00A2387B" w:rsidRPr="00007B42">
        <w:rPr>
          <w:sz w:val="22"/>
          <w:szCs w:val="22"/>
        </w:rPr>
        <w:t xml:space="preserve"> 27-29, 2015</w:t>
      </w:r>
      <w:r w:rsidR="00A2387B">
        <w:rPr>
          <w:sz w:val="22"/>
          <w:szCs w:val="22"/>
        </w:rPr>
        <w:t xml:space="preserve"> </w:t>
      </w:r>
      <w:r w:rsidRPr="00007B42">
        <w:rPr>
          <w:sz w:val="22"/>
          <w:szCs w:val="22"/>
        </w:rPr>
        <w:t xml:space="preserve">in order to support our region’s quest to exploit broadband </w:t>
      </w:r>
      <w:r w:rsidR="00A2387B">
        <w:rPr>
          <w:sz w:val="22"/>
          <w:szCs w:val="22"/>
        </w:rPr>
        <w:t>and</w:t>
      </w:r>
      <w:r w:rsidRPr="00007B42">
        <w:rPr>
          <w:sz w:val="22"/>
          <w:szCs w:val="22"/>
        </w:rPr>
        <w:t xml:space="preserve"> increase the quality of life for all Caribbean people</w:t>
      </w:r>
      <w:bookmarkStart w:id="2" w:name="_GoBack"/>
      <w:bookmarkEnd w:id="2"/>
      <w:r w:rsidR="00A2387B">
        <w:rPr>
          <w:sz w:val="22"/>
          <w:szCs w:val="22"/>
        </w:rPr>
        <w:t>,</w:t>
      </w:r>
      <w:r w:rsidRPr="00007B42">
        <w:rPr>
          <w:sz w:val="22"/>
          <w:szCs w:val="22"/>
        </w:rPr>
        <w:t xml:space="preserve"> regardless of their location or social status.</w:t>
      </w:r>
    </w:p>
    <w:p w:rsidR="00B846E5" w:rsidRPr="00007B42" w:rsidRDefault="00B846E5" w:rsidP="00007B42">
      <w:pPr>
        <w:jc w:val="both"/>
        <w:rPr>
          <w:sz w:val="22"/>
          <w:szCs w:val="22"/>
        </w:rPr>
      </w:pPr>
    </w:p>
    <w:p w:rsidR="00B846E5" w:rsidRDefault="00B846E5" w:rsidP="00007B42">
      <w:pPr>
        <w:jc w:val="both"/>
        <w:rPr>
          <w:sz w:val="22"/>
          <w:szCs w:val="22"/>
        </w:rPr>
      </w:pPr>
      <w:r w:rsidRPr="00007B42">
        <w:rPr>
          <w:sz w:val="22"/>
          <w:szCs w:val="22"/>
        </w:rPr>
        <w:t>Sincerely Yours,</w:t>
      </w:r>
    </w:p>
    <w:p w:rsidR="00FB167C" w:rsidRDefault="00A2387B" w:rsidP="00007B42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136525</wp:posOffset>
                </wp:positionV>
                <wp:extent cx="1391920" cy="675640"/>
                <wp:effectExtent l="0" t="3175" r="63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67C" w:rsidRDefault="00FB167C">
                            <w:r w:rsidRPr="00FB167C">
                              <w:rPr>
                                <w:noProof/>
                                <w:lang w:val="es-VE" w:eastAsia="es-VE"/>
                              </w:rPr>
                              <w:drawing>
                                <wp:inline distT="0" distB="0" distL="0" distR="0">
                                  <wp:extent cx="1199515" cy="518134"/>
                                  <wp:effectExtent l="19050" t="0" r="635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515" cy="518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2.4pt;margin-top:10.75pt;width:109.6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eOfhQIAABc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" stroked="f">
                <v:textbox>
                  <w:txbxContent>
                    <w:p w:rsidR="00FB167C" w:rsidRDefault="00FB167C">
                      <w:r w:rsidRPr="00FB167C">
                        <w:rPr>
                          <w:noProof/>
                          <w:lang w:val="es-VE" w:eastAsia="es-VE"/>
                        </w:rPr>
                        <w:drawing>
                          <wp:inline distT="0" distB="0" distL="0" distR="0">
                            <wp:extent cx="1199515" cy="518134"/>
                            <wp:effectExtent l="19050" t="0" r="635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515" cy="518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167C" w:rsidRDefault="00FB167C" w:rsidP="00007B42">
      <w:pPr>
        <w:jc w:val="both"/>
        <w:rPr>
          <w:sz w:val="22"/>
          <w:szCs w:val="22"/>
        </w:rPr>
      </w:pPr>
    </w:p>
    <w:p w:rsidR="00FB167C" w:rsidRDefault="00FB167C" w:rsidP="00007B42">
      <w:pPr>
        <w:jc w:val="both"/>
        <w:rPr>
          <w:sz w:val="22"/>
          <w:szCs w:val="22"/>
        </w:rPr>
      </w:pPr>
    </w:p>
    <w:p w:rsidR="00FB167C" w:rsidRDefault="00FB167C" w:rsidP="00007B42">
      <w:pPr>
        <w:jc w:val="both"/>
        <w:rPr>
          <w:sz w:val="22"/>
          <w:szCs w:val="22"/>
        </w:rPr>
      </w:pPr>
    </w:p>
    <w:p w:rsidR="00FB167C" w:rsidRDefault="00FB167C" w:rsidP="00007B42">
      <w:pPr>
        <w:jc w:val="both"/>
        <w:rPr>
          <w:sz w:val="22"/>
          <w:szCs w:val="22"/>
        </w:rPr>
      </w:pPr>
    </w:p>
    <w:p w:rsidR="00FB167C" w:rsidRDefault="00FB167C" w:rsidP="00FB167C">
      <w:pPr>
        <w:jc w:val="both"/>
        <w:rPr>
          <w:sz w:val="22"/>
          <w:szCs w:val="22"/>
        </w:rPr>
      </w:pPr>
      <w:r>
        <w:rPr>
          <w:sz w:val="22"/>
          <w:szCs w:val="22"/>
        </w:rPr>
        <w:t>Regenie Fräser</w:t>
      </w:r>
    </w:p>
    <w:p w:rsidR="00FB167C" w:rsidRPr="00007B42" w:rsidRDefault="00FB167C" w:rsidP="00FB167C">
      <w:pPr>
        <w:jc w:val="both"/>
        <w:rPr>
          <w:sz w:val="22"/>
          <w:szCs w:val="22"/>
        </w:rPr>
      </w:pPr>
      <w:r>
        <w:rPr>
          <w:sz w:val="22"/>
          <w:szCs w:val="22"/>
        </w:rPr>
        <w:t>Secretary General</w:t>
      </w:r>
    </w:p>
    <w:p w:rsidR="00FB167C" w:rsidRPr="00007B42" w:rsidRDefault="00FB167C" w:rsidP="00007B42">
      <w:pPr>
        <w:jc w:val="both"/>
        <w:rPr>
          <w:sz w:val="22"/>
          <w:szCs w:val="22"/>
        </w:rPr>
      </w:pPr>
    </w:p>
    <w:sectPr w:rsidR="00FB167C" w:rsidRPr="00007B42" w:rsidSect="00B744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74" w:rsidRDefault="000F2574" w:rsidP="00337828">
      <w:r>
        <w:separator/>
      </w:r>
    </w:p>
  </w:endnote>
  <w:endnote w:type="continuationSeparator" w:id="0">
    <w:p w:rsidR="000F2574" w:rsidRDefault="000F2574" w:rsidP="0033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74" w:rsidRDefault="000F2574" w:rsidP="00337828">
      <w:r>
        <w:separator/>
      </w:r>
    </w:p>
  </w:footnote>
  <w:footnote w:type="continuationSeparator" w:id="0">
    <w:p w:rsidR="000F2574" w:rsidRDefault="000F2574" w:rsidP="0033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612F"/>
    <w:multiLevelType w:val="hybridMultilevel"/>
    <w:tmpl w:val="0AD4B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296C"/>
    <w:multiLevelType w:val="hybridMultilevel"/>
    <w:tmpl w:val="ADBA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25F61"/>
    <w:multiLevelType w:val="hybridMultilevel"/>
    <w:tmpl w:val="A378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00CC8"/>
    <w:multiLevelType w:val="hybridMultilevel"/>
    <w:tmpl w:val="26C25116"/>
    <w:lvl w:ilvl="0" w:tplc="10667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7FC6F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C"/>
    <w:rsid w:val="00007B42"/>
    <w:rsid w:val="000E748C"/>
    <w:rsid w:val="000F2574"/>
    <w:rsid w:val="00301260"/>
    <w:rsid w:val="00337828"/>
    <w:rsid w:val="003C4D90"/>
    <w:rsid w:val="003F1534"/>
    <w:rsid w:val="004010D4"/>
    <w:rsid w:val="0043211B"/>
    <w:rsid w:val="004B6868"/>
    <w:rsid w:val="005D62F0"/>
    <w:rsid w:val="005F1F26"/>
    <w:rsid w:val="00673997"/>
    <w:rsid w:val="007217E7"/>
    <w:rsid w:val="007700DF"/>
    <w:rsid w:val="00936982"/>
    <w:rsid w:val="00A2387B"/>
    <w:rsid w:val="00AA5388"/>
    <w:rsid w:val="00B744FF"/>
    <w:rsid w:val="00B846E5"/>
    <w:rsid w:val="00B91CB3"/>
    <w:rsid w:val="00C55013"/>
    <w:rsid w:val="00CC179A"/>
    <w:rsid w:val="00D538AD"/>
    <w:rsid w:val="00D72055"/>
    <w:rsid w:val="00DF2602"/>
    <w:rsid w:val="00EC168E"/>
    <w:rsid w:val="00FB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1B"/>
    <w:pPr>
      <w:ind w:left="720"/>
      <w:contextualSpacing/>
    </w:pPr>
  </w:style>
  <w:style w:type="table" w:styleId="TableGrid">
    <w:name w:val="Table Grid"/>
    <w:basedOn w:val="TableNormal"/>
    <w:rsid w:val="00C55013"/>
    <w:rPr>
      <w:rFonts w:ascii="Times New Roman" w:eastAsia="Times New Roman" w:hAnsi="Times New Roman" w:cs="Times New Roman"/>
      <w:sz w:val="20"/>
      <w:szCs w:val="20"/>
      <w:lang w:val="en-J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20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0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0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0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0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17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7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828"/>
  </w:style>
  <w:style w:type="paragraph" w:styleId="Footer">
    <w:name w:val="footer"/>
    <w:basedOn w:val="Normal"/>
    <w:link w:val="FooterChar"/>
    <w:uiPriority w:val="99"/>
    <w:semiHidden/>
    <w:unhideWhenUsed/>
    <w:rsid w:val="00337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1B"/>
    <w:pPr>
      <w:ind w:left="720"/>
      <w:contextualSpacing/>
    </w:pPr>
  </w:style>
  <w:style w:type="table" w:styleId="TableGrid">
    <w:name w:val="Table Grid"/>
    <w:basedOn w:val="TableNormal"/>
    <w:rsid w:val="00C55013"/>
    <w:rPr>
      <w:rFonts w:ascii="Times New Roman" w:eastAsia="Times New Roman" w:hAnsi="Times New Roman" w:cs="Times New Roman"/>
      <w:sz w:val="20"/>
      <w:szCs w:val="20"/>
      <w:lang w:val="en-J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720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0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0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0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0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17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7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828"/>
  </w:style>
  <w:style w:type="paragraph" w:styleId="Footer">
    <w:name w:val="footer"/>
    <w:basedOn w:val="Normal"/>
    <w:link w:val="FooterChar"/>
    <w:uiPriority w:val="99"/>
    <w:semiHidden/>
    <w:unhideWhenUsed/>
    <w:rsid w:val="00337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http://canto.org/wp-content/uploads/2013/02/BIIPAC-Jan-2015-Registration-For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nto.org/wp-content/uploads/2014/01/VISA-Announceme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Ayanna Samuels</dc:creator>
  <cp:lastModifiedBy>Tricia Balthazar</cp:lastModifiedBy>
  <cp:revision>2</cp:revision>
  <dcterms:created xsi:type="dcterms:W3CDTF">2015-01-07T20:54:00Z</dcterms:created>
  <dcterms:modified xsi:type="dcterms:W3CDTF">2015-01-07T20:54:00Z</dcterms:modified>
</cp:coreProperties>
</file>