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AB" w:rsidRDefault="00C7495F">
      <w:r>
        <w:rPr>
          <w:noProof/>
          <w:lang w:val="en-JM" w:eastAsia="en-JM"/>
        </w:rPr>
        <w:drawing>
          <wp:inline distT="0" distB="0" distL="0" distR="0" wp14:anchorId="22144C36" wp14:editId="7FBC673D">
            <wp:extent cx="2962275" cy="2552700"/>
            <wp:effectExtent l="0" t="0" r="9525" b="0"/>
            <wp:docPr id="5" name="Picture 4" descr="C:\Users\CANTOCAN\AppData\Local\Microsoft\Windows\INetCache\Content.Word\canto-logo-Annual-General-Meeting.jpg"/>
            <wp:cNvGraphicFramePr/>
            <a:graphic xmlns:a="http://schemas.openxmlformats.org/drawingml/2006/main">
              <a:graphicData uri="http://schemas.openxmlformats.org/drawingml/2006/picture">
                <pic:pic xmlns:pic="http://schemas.openxmlformats.org/drawingml/2006/picture">
                  <pic:nvPicPr>
                    <pic:cNvPr id="5" name="Picture 4" descr="C:\Users\CANTOCAN\AppData\Local\Microsoft\Windows\INetCache\Content.Word\canto-logo-Annual-General-Meeting.jpg"/>
                    <pic:cNvPicPr/>
                  </pic:nvPicPr>
                  <pic:blipFill>
                    <a:blip r:embed="rId8" cstate="print"/>
                    <a:srcRect/>
                    <a:stretch>
                      <a:fillRect/>
                    </a:stretch>
                  </pic:blipFill>
                  <pic:spPr bwMode="auto">
                    <a:xfrm>
                      <a:off x="0" y="0"/>
                      <a:ext cx="2962275" cy="2552700"/>
                    </a:xfrm>
                    <a:prstGeom prst="rect">
                      <a:avLst/>
                    </a:prstGeom>
                    <a:noFill/>
                    <a:ln w="9525">
                      <a:noFill/>
                      <a:miter lim="800000"/>
                      <a:headEnd/>
                      <a:tailEnd/>
                    </a:ln>
                  </pic:spPr>
                </pic:pic>
              </a:graphicData>
            </a:graphic>
          </wp:inline>
        </w:drawing>
      </w:r>
    </w:p>
    <w:p w:rsidR="00D1744F" w:rsidRDefault="00D1744F"/>
    <w:p w:rsidR="00E4080B" w:rsidRPr="00C7495F" w:rsidRDefault="00E4080B">
      <w:pPr>
        <w:rPr>
          <w:b/>
          <w:sz w:val="36"/>
          <w:szCs w:val="36"/>
        </w:rPr>
      </w:pPr>
      <w:r w:rsidRPr="00C7495F">
        <w:rPr>
          <w:b/>
          <w:sz w:val="36"/>
          <w:szCs w:val="36"/>
        </w:rPr>
        <w:t>CANTO</w:t>
      </w:r>
    </w:p>
    <w:p w:rsidR="00E4080B" w:rsidRPr="00C7495F" w:rsidRDefault="00E4080B">
      <w:pPr>
        <w:rPr>
          <w:b/>
          <w:sz w:val="28"/>
          <w:szCs w:val="28"/>
        </w:rPr>
      </w:pPr>
      <w:r w:rsidRPr="00C7495F">
        <w:rPr>
          <w:b/>
          <w:sz w:val="28"/>
          <w:szCs w:val="28"/>
        </w:rPr>
        <w:t xml:space="preserve">RESPONSE TO </w:t>
      </w:r>
    </w:p>
    <w:p w:rsidR="00E4080B" w:rsidRPr="00C7495F" w:rsidRDefault="00D1744F">
      <w:pPr>
        <w:rPr>
          <w:b/>
          <w:sz w:val="44"/>
          <w:szCs w:val="44"/>
        </w:rPr>
      </w:pPr>
      <w:r w:rsidRPr="00C7495F">
        <w:rPr>
          <w:b/>
          <w:sz w:val="44"/>
          <w:szCs w:val="44"/>
        </w:rPr>
        <w:t>PROPOSED CHANGES TO THE UNIVERSAL SERVICE FUND IN THE ECTEL MEMBER STATES</w:t>
      </w:r>
    </w:p>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p w:rsidR="00E4080B" w:rsidRDefault="00E4080B">
      <w:r>
        <w:t>February 22, 2016</w:t>
      </w:r>
    </w:p>
    <w:p w:rsidR="00C7495F" w:rsidRDefault="00C7495F">
      <w:pPr>
        <w:rPr>
          <w:rFonts w:ascii="MarkOT" w:hAnsi="MarkOT" w:cs="Arial"/>
          <w:b/>
        </w:rPr>
      </w:pPr>
    </w:p>
    <w:p w:rsidR="00D1744F" w:rsidRPr="002C5C5A" w:rsidRDefault="00356653" w:rsidP="002C5C5A">
      <w:pPr>
        <w:pStyle w:val="ListParagraph"/>
        <w:numPr>
          <w:ilvl w:val="0"/>
          <w:numId w:val="1"/>
        </w:numPr>
        <w:rPr>
          <w:b/>
        </w:rPr>
      </w:pPr>
      <w:r w:rsidRPr="002C5C5A">
        <w:rPr>
          <w:rFonts w:ascii="MarkOT" w:hAnsi="MarkOT" w:cs="Arial"/>
          <w:b/>
        </w:rPr>
        <w:lastRenderedPageBreak/>
        <w:t>INTRODUCTION</w:t>
      </w:r>
    </w:p>
    <w:p w:rsidR="00D1744F" w:rsidRDefault="00D1744F"/>
    <w:p w:rsidR="00C4740D" w:rsidRPr="00C4740D" w:rsidRDefault="00C4740D" w:rsidP="00C4740D">
      <w:pPr>
        <w:pStyle w:val="ListParagraph"/>
        <w:numPr>
          <w:ilvl w:val="1"/>
          <w:numId w:val="1"/>
        </w:numPr>
        <w:spacing w:line="360" w:lineRule="auto"/>
        <w:jc w:val="both"/>
        <w:rPr>
          <w:rFonts w:ascii="MarkOT" w:hAnsi="MarkOT" w:cs="Arial"/>
          <w:lang w:val="en-GB"/>
        </w:rPr>
      </w:pPr>
      <w:r>
        <w:rPr>
          <w:rFonts w:ascii="MarkOT" w:hAnsi="MarkOT" w:cs="Arial"/>
        </w:rPr>
        <w:t>CANTO w</w:t>
      </w:r>
      <w:r w:rsidRPr="00D16909">
        <w:rPr>
          <w:rFonts w:ascii="MarkOT" w:hAnsi="MarkOT" w:cs="Arial"/>
        </w:rPr>
        <w:t xml:space="preserve">elcomes the opportunity to respond to ECTEL’s Consultation </w:t>
      </w:r>
      <w:r>
        <w:rPr>
          <w:rFonts w:ascii="MarkOT" w:hAnsi="MarkOT" w:cs="Arial"/>
        </w:rPr>
        <w:t>Document</w:t>
      </w:r>
      <w:r w:rsidRPr="00D16909">
        <w:rPr>
          <w:rFonts w:ascii="MarkOT" w:hAnsi="MarkOT" w:cs="Arial"/>
        </w:rPr>
        <w:t xml:space="preserve"> on</w:t>
      </w:r>
      <w:r>
        <w:rPr>
          <w:rFonts w:ascii="MarkOT" w:hAnsi="MarkOT" w:cs="Arial"/>
        </w:rPr>
        <w:t xml:space="preserve"> </w:t>
      </w:r>
      <w:r w:rsidR="000416BF">
        <w:rPr>
          <w:rFonts w:ascii="MarkOT" w:hAnsi="MarkOT" w:cs="Arial"/>
        </w:rPr>
        <w:t>‘</w:t>
      </w:r>
      <w:r w:rsidRPr="000416BF">
        <w:rPr>
          <w:rFonts w:ascii="MarkOT" w:hAnsi="MarkOT" w:cs="Arial"/>
          <w:b/>
          <w:lang w:val="en-GB"/>
        </w:rPr>
        <w:t xml:space="preserve">Proposed </w:t>
      </w:r>
      <w:r w:rsidR="000416BF" w:rsidRPr="000416BF">
        <w:rPr>
          <w:rFonts w:ascii="MarkOT" w:hAnsi="MarkOT" w:cs="Arial"/>
          <w:b/>
          <w:lang w:val="en-GB"/>
        </w:rPr>
        <w:t>C</w:t>
      </w:r>
      <w:r w:rsidRPr="000416BF">
        <w:rPr>
          <w:rFonts w:ascii="MarkOT" w:hAnsi="MarkOT" w:cs="Arial"/>
          <w:b/>
          <w:lang w:val="en-GB"/>
        </w:rPr>
        <w:t>hanges to the Universal Service Fund in the ECTEL Member States</w:t>
      </w:r>
      <w:r w:rsidR="000416BF" w:rsidRPr="000416BF">
        <w:rPr>
          <w:rFonts w:ascii="MarkOT" w:hAnsi="MarkOT" w:cs="Arial"/>
          <w:b/>
          <w:lang w:val="en-GB"/>
        </w:rPr>
        <w:t>’</w:t>
      </w:r>
      <w:r w:rsidR="000416BF">
        <w:rPr>
          <w:rFonts w:ascii="MarkOT" w:hAnsi="MarkOT" w:cs="Arial"/>
          <w:lang w:val="en-GB"/>
        </w:rPr>
        <w:t xml:space="preserve">, (the Document) </w:t>
      </w:r>
      <w:r>
        <w:rPr>
          <w:rFonts w:ascii="MarkOT" w:hAnsi="MarkOT" w:cs="Arial"/>
          <w:lang w:val="en-GB"/>
        </w:rPr>
        <w:t>published December 4, 2015.</w:t>
      </w:r>
    </w:p>
    <w:p w:rsidR="00C4740D" w:rsidRPr="00D16909" w:rsidRDefault="00C4740D" w:rsidP="00C4740D">
      <w:pPr>
        <w:pStyle w:val="ListParagraph"/>
        <w:spacing w:line="360" w:lineRule="auto"/>
        <w:ind w:left="792"/>
        <w:jc w:val="both"/>
        <w:rPr>
          <w:rFonts w:ascii="MarkOT" w:hAnsi="MarkOT" w:cs="Arial"/>
          <w:b/>
        </w:rPr>
      </w:pPr>
    </w:p>
    <w:p w:rsidR="00C4740D" w:rsidRDefault="00C4740D" w:rsidP="00C4740D">
      <w:pPr>
        <w:pStyle w:val="ListParagraph"/>
        <w:numPr>
          <w:ilvl w:val="1"/>
          <w:numId w:val="1"/>
        </w:numPr>
        <w:spacing w:line="360" w:lineRule="auto"/>
        <w:jc w:val="both"/>
        <w:rPr>
          <w:rFonts w:ascii="MarkOT" w:hAnsi="MarkOT" w:cs="Arial"/>
        </w:rPr>
      </w:pPr>
      <w:r>
        <w:rPr>
          <w:rFonts w:ascii="MarkOT" w:hAnsi="MarkOT" w:cs="Arial"/>
        </w:rPr>
        <w:t>CANTO is</w:t>
      </w:r>
      <w:r w:rsidRPr="00C4740D">
        <w:rPr>
          <w:rFonts w:ascii="MarkOT" w:hAnsi="MarkOT" w:cs="Arial"/>
        </w:rPr>
        <w:t xml:space="preserve"> recognized as the leading trade association of the ICT sector for shaping information and communication in the Caribbean. Founded in 1985 as a non-profit association of eight (8) telephone operating companies, CANTO has now grown to over 120 members in more than 34 countries.  </w:t>
      </w:r>
    </w:p>
    <w:p w:rsidR="00C4740D" w:rsidRPr="00C4740D" w:rsidRDefault="00C4740D" w:rsidP="00C4740D">
      <w:pPr>
        <w:pStyle w:val="ListParagraph"/>
        <w:rPr>
          <w:rFonts w:ascii="MarkOT" w:hAnsi="MarkOT" w:cs="Arial"/>
        </w:rPr>
      </w:pPr>
    </w:p>
    <w:p w:rsidR="00C4740D" w:rsidRDefault="00AD37FC" w:rsidP="00EE6A30">
      <w:pPr>
        <w:pStyle w:val="ListParagraph"/>
        <w:numPr>
          <w:ilvl w:val="1"/>
          <w:numId w:val="1"/>
        </w:numPr>
        <w:spacing w:line="360" w:lineRule="auto"/>
        <w:jc w:val="both"/>
        <w:rPr>
          <w:rFonts w:ascii="MarkOT" w:hAnsi="MarkOT" w:cs="Arial"/>
        </w:rPr>
      </w:pPr>
      <w:r w:rsidRPr="00AD37FC">
        <w:rPr>
          <w:rFonts w:ascii="MarkOT" w:hAnsi="MarkOT" w:cs="Arial"/>
        </w:rPr>
        <w:t>CANTO’s vision is to be the leading authority in shaping information, communication and technology in the Caribbean Region and the Americas. Our mission is to Influence the innovation and development of ICT solutions for the benefit of members by developing, navigating and leveraging relationships with all stakeholders.</w:t>
      </w:r>
      <w:r>
        <w:rPr>
          <w:rFonts w:ascii="MarkOT" w:hAnsi="MarkOT" w:cs="Arial"/>
        </w:rPr>
        <w:t xml:space="preserve"> </w:t>
      </w:r>
      <w:r w:rsidRPr="00AD37FC">
        <w:rPr>
          <w:rFonts w:ascii="MarkOT" w:hAnsi="MarkOT" w:cs="Arial"/>
        </w:rPr>
        <w:t>To</w:t>
      </w:r>
      <w:r>
        <w:rPr>
          <w:rFonts w:ascii="MarkOT" w:hAnsi="MarkOT" w:cs="Arial"/>
        </w:rPr>
        <w:t xml:space="preserve"> a</w:t>
      </w:r>
      <w:r w:rsidRPr="00AD37FC">
        <w:rPr>
          <w:rFonts w:ascii="MarkOT" w:hAnsi="MarkOT" w:cs="Arial"/>
        </w:rPr>
        <w:t xml:space="preserve">dvocate for policies, legislation and rules which advance the creation of an environment which facilitates the deployment of services and technologies around the region. </w:t>
      </w:r>
    </w:p>
    <w:p w:rsidR="00C4740D" w:rsidRDefault="00C4740D" w:rsidP="00C4740D">
      <w:pPr>
        <w:pStyle w:val="ListParagraph"/>
        <w:rPr>
          <w:rFonts w:ascii="MarkOT" w:hAnsi="MarkOT" w:cs="Arial"/>
        </w:rPr>
      </w:pPr>
    </w:p>
    <w:p w:rsidR="00AD37FC" w:rsidRDefault="000416BF" w:rsidP="00C4740D">
      <w:pPr>
        <w:pStyle w:val="ListParagraph"/>
        <w:numPr>
          <w:ilvl w:val="1"/>
          <w:numId w:val="1"/>
        </w:numPr>
        <w:spacing w:line="360" w:lineRule="auto"/>
        <w:jc w:val="both"/>
        <w:rPr>
          <w:rFonts w:ascii="MarkOT" w:hAnsi="MarkOT" w:cs="Arial"/>
        </w:rPr>
      </w:pPr>
      <w:r w:rsidRPr="00C4740D">
        <w:rPr>
          <w:rFonts w:ascii="MarkOT" w:hAnsi="MarkOT" w:cs="Arial"/>
        </w:rPr>
        <w:t>A Board</w:t>
      </w:r>
      <w:r w:rsidR="0089542B">
        <w:rPr>
          <w:rFonts w:ascii="MarkOT" w:hAnsi="MarkOT" w:cs="Arial"/>
        </w:rPr>
        <w:t xml:space="preserve"> </w:t>
      </w:r>
      <w:r w:rsidRPr="00C4740D">
        <w:rPr>
          <w:rFonts w:ascii="MarkOT" w:hAnsi="MarkOT" w:cs="Arial"/>
        </w:rPr>
        <w:t>of Directors appointed by the membership directs</w:t>
      </w:r>
      <w:r>
        <w:rPr>
          <w:rFonts w:ascii="MarkOT" w:hAnsi="MarkOT" w:cs="Arial"/>
        </w:rPr>
        <w:t xml:space="preserve"> the policy of the Association. Those policies are</w:t>
      </w:r>
      <w:r w:rsidR="00AD37FC">
        <w:rPr>
          <w:rFonts w:ascii="MarkOT" w:hAnsi="MarkOT" w:cs="Arial"/>
        </w:rPr>
        <w:t xml:space="preserve"> </w:t>
      </w:r>
      <w:r w:rsidR="0089542B">
        <w:rPr>
          <w:rFonts w:ascii="MarkOT" w:hAnsi="MarkOT" w:cs="Arial"/>
        </w:rPr>
        <w:t xml:space="preserve">implemented </w:t>
      </w:r>
      <w:r w:rsidR="00C4740D" w:rsidRPr="00C4740D">
        <w:rPr>
          <w:rFonts w:ascii="MarkOT" w:hAnsi="MarkOT" w:cs="Arial"/>
        </w:rPr>
        <w:t>by the staff of a permanent Secretariat based in Trinidad and Tobago</w:t>
      </w:r>
      <w:r w:rsidR="00AD37FC">
        <w:rPr>
          <w:rFonts w:ascii="MarkOT" w:hAnsi="MarkOT" w:cs="Arial"/>
        </w:rPr>
        <w:t>.</w:t>
      </w:r>
      <w:r w:rsidR="00AD37FC" w:rsidRPr="00AD37FC">
        <w:rPr>
          <w:rFonts w:ascii="MarkOT" w:hAnsi="MarkOT" w:cs="Arial"/>
        </w:rPr>
        <w:t xml:space="preserve"> </w:t>
      </w:r>
      <w:r w:rsidR="00AD37FC">
        <w:rPr>
          <w:rFonts w:ascii="MarkOT" w:hAnsi="MarkOT" w:cs="Arial"/>
        </w:rPr>
        <w:t xml:space="preserve">Learn more about CANTO and its membership at </w:t>
      </w:r>
      <w:hyperlink r:id="rId9" w:history="1">
        <w:r w:rsidR="00AD37FC" w:rsidRPr="0060378B">
          <w:rPr>
            <w:rStyle w:val="Hyperlink"/>
            <w:rFonts w:ascii="MarkOT" w:hAnsi="MarkOT" w:cs="Arial"/>
          </w:rPr>
          <w:t>www.canto.org</w:t>
        </w:r>
      </w:hyperlink>
      <w:r w:rsidR="00AD37FC">
        <w:rPr>
          <w:rFonts w:ascii="MarkOT" w:hAnsi="MarkOT" w:cs="Arial"/>
        </w:rPr>
        <w:t>.</w:t>
      </w:r>
    </w:p>
    <w:p w:rsidR="00AD37FC" w:rsidRPr="00AD37FC" w:rsidRDefault="00AD37FC" w:rsidP="00AD37FC">
      <w:pPr>
        <w:pStyle w:val="ListParagraph"/>
        <w:rPr>
          <w:rFonts w:ascii="MarkOT" w:hAnsi="MarkOT" w:cs="Arial"/>
        </w:rPr>
      </w:pPr>
    </w:p>
    <w:p w:rsidR="003B2682" w:rsidRDefault="00C4740D" w:rsidP="00C4740D">
      <w:pPr>
        <w:pStyle w:val="ListParagraph"/>
        <w:numPr>
          <w:ilvl w:val="1"/>
          <w:numId w:val="1"/>
        </w:numPr>
        <w:spacing w:line="360" w:lineRule="auto"/>
        <w:jc w:val="both"/>
        <w:rPr>
          <w:rFonts w:ascii="MarkOT" w:hAnsi="MarkOT" w:cs="Arial"/>
        </w:rPr>
      </w:pPr>
      <w:r w:rsidRPr="00C4740D">
        <w:rPr>
          <w:rFonts w:ascii="MarkOT" w:hAnsi="MarkOT" w:cs="Arial"/>
        </w:rPr>
        <w:t xml:space="preserve"> </w:t>
      </w:r>
      <w:r w:rsidRPr="0048335F">
        <w:rPr>
          <w:rFonts w:ascii="MarkOT" w:hAnsi="MarkOT" w:cs="Arial"/>
        </w:rPr>
        <w:t>Th</w:t>
      </w:r>
      <w:r w:rsidRPr="00D16909">
        <w:rPr>
          <w:rFonts w:ascii="MarkOT" w:hAnsi="MarkOT" w:cs="Arial"/>
        </w:rPr>
        <w:t>is response is made on behalf of C</w:t>
      </w:r>
      <w:r>
        <w:rPr>
          <w:rFonts w:ascii="MarkOT" w:hAnsi="MarkOT" w:cs="Arial"/>
        </w:rPr>
        <w:t>ANTO’s members</w:t>
      </w:r>
      <w:r w:rsidR="003B2682">
        <w:rPr>
          <w:rFonts w:ascii="MarkOT" w:hAnsi="MarkOT" w:cs="Arial"/>
        </w:rPr>
        <w:t>.</w:t>
      </w:r>
    </w:p>
    <w:p w:rsidR="00356653" w:rsidRPr="00356653" w:rsidRDefault="00356653" w:rsidP="00356653">
      <w:pPr>
        <w:pStyle w:val="ListParagraph"/>
        <w:rPr>
          <w:rFonts w:ascii="MarkOT" w:hAnsi="MarkOT" w:cs="Arial"/>
        </w:rPr>
      </w:pPr>
    </w:p>
    <w:p w:rsidR="00356653" w:rsidRPr="00182111" w:rsidRDefault="00356653" w:rsidP="00356653">
      <w:pPr>
        <w:pStyle w:val="ListParagraph"/>
        <w:numPr>
          <w:ilvl w:val="1"/>
          <w:numId w:val="1"/>
        </w:numPr>
        <w:spacing w:line="360" w:lineRule="auto"/>
        <w:jc w:val="both"/>
        <w:rPr>
          <w:rFonts w:ascii="MarkOT" w:hAnsi="MarkOT" w:cs="Arial"/>
          <w:b/>
        </w:rPr>
      </w:pPr>
      <w:r>
        <w:rPr>
          <w:rFonts w:ascii="MarkOT" w:hAnsi="MarkOT" w:cs="Arial"/>
        </w:rPr>
        <w:t>The matter of the management of Universal Service funds has been under discussion at CANTO’s Regulatory &amp; Emerging Technologies Committee and so this consultation provides a timely and welcomed opportunity for CANTO to make its contribution.</w:t>
      </w:r>
    </w:p>
    <w:p w:rsidR="003B2682" w:rsidRPr="003B2682" w:rsidRDefault="003B2682" w:rsidP="003B2682">
      <w:pPr>
        <w:pStyle w:val="ListParagraph"/>
        <w:rPr>
          <w:rFonts w:ascii="MarkOT" w:hAnsi="MarkOT" w:cs="Arial"/>
        </w:rPr>
      </w:pPr>
    </w:p>
    <w:p w:rsidR="00C4740D" w:rsidRDefault="00C4740D" w:rsidP="00E54F49">
      <w:pPr>
        <w:pStyle w:val="ListParagraph"/>
        <w:numPr>
          <w:ilvl w:val="1"/>
          <w:numId w:val="1"/>
        </w:numPr>
        <w:spacing w:line="360" w:lineRule="auto"/>
        <w:jc w:val="both"/>
        <w:rPr>
          <w:rFonts w:ascii="MarkOT" w:hAnsi="MarkOT" w:cs="Arial"/>
        </w:rPr>
      </w:pPr>
      <w:r w:rsidRPr="003B2682">
        <w:rPr>
          <w:rFonts w:ascii="MarkOT" w:hAnsi="MarkOT" w:cs="Arial"/>
        </w:rPr>
        <w:t xml:space="preserve"> </w:t>
      </w:r>
      <w:r w:rsidR="003B2682" w:rsidRPr="003B2682">
        <w:rPr>
          <w:rFonts w:ascii="MarkOT" w:hAnsi="MarkOT" w:cs="Arial"/>
        </w:rPr>
        <w:t xml:space="preserve">CANTO’s response will focus on the management of the Universal Service Funds in ECTEL </w:t>
      </w:r>
      <w:r w:rsidR="00356653">
        <w:rPr>
          <w:rFonts w:ascii="MarkOT" w:hAnsi="MarkOT" w:cs="Arial"/>
        </w:rPr>
        <w:t>member states</w:t>
      </w:r>
      <w:r w:rsidR="003B2682" w:rsidRPr="003B2682">
        <w:rPr>
          <w:rFonts w:ascii="MarkOT" w:hAnsi="MarkOT" w:cs="Arial"/>
        </w:rPr>
        <w:t>. Accordingly failure to address any issue raised in the Consultation Documents does not necessarily signify CANTO’s agreement in whole or in part with any position taken on the matter by ECTEL or the NTRC</w:t>
      </w:r>
      <w:r w:rsidR="0089542B">
        <w:rPr>
          <w:rFonts w:ascii="MarkOT" w:hAnsi="MarkOT" w:cs="Arial"/>
        </w:rPr>
        <w:t>S</w:t>
      </w:r>
      <w:r w:rsidR="003B2682" w:rsidRPr="003B2682">
        <w:rPr>
          <w:rFonts w:ascii="MarkOT" w:hAnsi="MarkOT" w:cs="Arial"/>
        </w:rPr>
        <w:t xml:space="preserve">. CANTO reserves the right to comment on any issue raised in the Consultation Document at a later date. </w:t>
      </w:r>
    </w:p>
    <w:p w:rsidR="00C7495F" w:rsidRPr="00C7495F" w:rsidRDefault="00C7495F" w:rsidP="00C7495F">
      <w:pPr>
        <w:pStyle w:val="ListParagraph"/>
        <w:rPr>
          <w:rFonts w:ascii="MarkOT" w:hAnsi="MarkOT" w:cs="Arial"/>
        </w:rPr>
      </w:pPr>
    </w:p>
    <w:p w:rsidR="00C7495F" w:rsidRDefault="00C7495F" w:rsidP="00C7495F">
      <w:pPr>
        <w:pStyle w:val="ListParagraph"/>
        <w:numPr>
          <w:ilvl w:val="1"/>
          <w:numId w:val="1"/>
        </w:numPr>
        <w:spacing w:line="360" w:lineRule="auto"/>
        <w:jc w:val="both"/>
        <w:rPr>
          <w:rFonts w:ascii="MarkOT" w:hAnsi="MarkOT" w:cs="Arial"/>
        </w:rPr>
      </w:pPr>
      <w:r>
        <w:rPr>
          <w:rFonts w:ascii="MarkOT" w:hAnsi="MarkOT" w:cs="Arial"/>
        </w:rPr>
        <w:lastRenderedPageBreak/>
        <w:t xml:space="preserve">CANTO’s response </w:t>
      </w:r>
      <w:r w:rsidR="002C5C5A">
        <w:rPr>
          <w:rFonts w:ascii="MarkOT" w:hAnsi="MarkOT" w:cs="Arial"/>
        </w:rPr>
        <w:t>includes</w:t>
      </w:r>
      <w:r>
        <w:rPr>
          <w:rFonts w:ascii="MarkOT" w:hAnsi="MarkOT" w:cs="Arial"/>
        </w:rPr>
        <w:t xml:space="preserve"> Appendix I, which is a </w:t>
      </w:r>
      <w:r w:rsidR="00356653">
        <w:rPr>
          <w:rFonts w:ascii="MarkOT" w:hAnsi="MarkOT" w:cs="Arial"/>
        </w:rPr>
        <w:t xml:space="preserve">policy </w:t>
      </w:r>
      <w:r>
        <w:rPr>
          <w:rFonts w:ascii="MarkOT" w:hAnsi="MarkOT" w:cs="Arial"/>
        </w:rPr>
        <w:t>paper previously circulated to ICT minister in the region titled ‘</w:t>
      </w:r>
      <w:r w:rsidRPr="00C7495F">
        <w:rPr>
          <w:rFonts w:ascii="MarkOT" w:hAnsi="MarkOT" w:cs="Arial"/>
          <w:i/>
        </w:rPr>
        <w:t>Incentivising Investment in Broadband in the Caribbean</w:t>
      </w:r>
      <w:r>
        <w:rPr>
          <w:rFonts w:ascii="MarkOT" w:hAnsi="MarkOT" w:cs="Arial"/>
        </w:rPr>
        <w:t>’</w:t>
      </w:r>
      <w:r w:rsidR="00CB76F7">
        <w:rPr>
          <w:rFonts w:ascii="MarkOT" w:hAnsi="MarkOT" w:cs="Arial"/>
        </w:rPr>
        <w:t>.</w:t>
      </w:r>
    </w:p>
    <w:p w:rsidR="0089542B" w:rsidRPr="0089542B" w:rsidRDefault="0089542B" w:rsidP="0089542B">
      <w:pPr>
        <w:pStyle w:val="ListParagraph"/>
        <w:rPr>
          <w:rFonts w:ascii="MarkOT" w:hAnsi="MarkOT" w:cs="Arial"/>
        </w:rPr>
      </w:pPr>
    </w:p>
    <w:p w:rsidR="00533BC5" w:rsidRDefault="00533BC5" w:rsidP="00533BC5">
      <w:pPr>
        <w:pStyle w:val="ListParagraph"/>
        <w:numPr>
          <w:ilvl w:val="1"/>
          <w:numId w:val="1"/>
        </w:numPr>
        <w:spacing w:line="360" w:lineRule="auto"/>
        <w:jc w:val="both"/>
        <w:rPr>
          <w:rFonts w:ascii="MarkOT" w:hAnsi="MarkOT" w:cs="Arial"/>
        </w:rPr>
      </w:pPr>
      <w:r>
        <w:rPr>
          <w:rFonts w:ascii="MarkOT" w:hAnsi="MarkOT" w:cs="Arial"/>
        </w:rPr>
        <w:t>All responses to this document should be sent to:</w:t>
      </w:r>
    </w:p>
    <w:p w:rsidR="00533BC5" w:rsidRPr="00D1744F" w:rsidRDefault="00533BC5" w:rsidP="00533BC5">
      <w:pPr>
        <w:pStyle w:val="ListParagraph"/>
        <w:rPr>
          <w:rFonts w:ascii="MarkOT" w:hAnsi="MarkOT" w:cs="Arial"/>
        </w:rPr>
      </w:pPr>
    </w:p>
    <w:p w:rsidR="00533BC5" w:rsidRPr="00D1744F" w:rsidRDefault="00533BC5" w:rsidP="00533BC5">
      <w:pPr>
        <w:pStyle w:val="ListParagraph"/>
        <w:spacing w:line="360" w:lineRule="auto"/>
        <w:ind w:left="432" w:firstLine="360"/>
        <w:jc w:val="both"/>
        <w:rPr>
          <w:rFonts w:ascii="MarkOT" w:hAnsi="MarkOT" w:cs="Arial"/>
          <w:b/>
        </w:rPr>
      </w:pPr>
      <w:r w:rsidRPr="00D1744F">
        <w:rPr>
          <w:rFonts w:ascii="MarkOT" w:hAnsi="MarkOT" w:cs="Arial"/>
          <w:b/>
        </w:rPr>
        <w:t>Mrs. Teresa Wankin</w:t>
      </w:r>
    </w:p>
    <w:p w:rsidR="00533BC5" w:rsidRDefault="00533BC5" w:rsidP="00533BC5">
      <w:pPr>
        <w:pStyle w:val="ListParagraph"/>
        <w:spacing w:line="360" w:lineRule="auto"/>
        <w:ind w:left="360" w:firstLine="360"/>
        <w:jc w:val="both"/>
        <w:rPr>
          <w:rFonts w:ascii="MarkOT" w:hAnsi="MarkOT" w:cs="Arial"/>
        </w:rPr>
      </w:pPr>
      <w:r>
        <w:rPr>
          <w:rFonts w:ascii="MarkOT" w:hAnsi="MarkOT" w:cs="Arial"/>
        </w:rPr>
        <w:t xml:space="preserve"> Secretary General (acting)</w:t>
      </w:r>
    </w:p>
    <w:p w:rsidR="00533BC5" w:rsidRDefault="00533BC5" w:rsidP="00533BC5">
      <w:pPr>
        <w:pStyle w:val="ListParagraph"/>
        <w:spacing w:line="360" w:lineRule="auto"/>
        <w:ind w:left="360" w:firstLine="360"/>
        <w:jc w:val="both"/>
        <w:rPr>
          <w:rFonts w:ascii="MarkOT" w:hAnsi="MarkOT" w:cs="Arial"/>
        </w:rPr>
      </w:pPr>
      <w:r>
        <w:rPr>
          <w:rFonts w:ascii="MarkOT" w:hAnsi="MarkOT" w:cs="Arial"/>
        </w:rPr>
        <w:t xml:space="preserve"> CANTO</w:t>
      </w:r>
    </w:p>
    <w:p w:rsidR="00533BC5" w:rsidRDefault="00533BC5" w:rsidP="00533BC5">
      <w:pPr>
        <w:pStyle w:val="ListParagraph"/>
        <w:spacing w:line="360" w:lineRule="auto"/>
        <w:ind w:left="360" w:firstLine="360"/>
        <w:jc w:val="both"/>
        <w:rPr>
          <w:rFonts w:ascii="MarkOT" w:hAnsi="MarkOT" w:cs="Arial"/>
        </w:rPr>
      </w:pPr>
      <w:r>
        <w:rPr>
          <w:rFonts w:ascii="MarkOT" w:hAnsi="MarkOT" w:cs="Arial"/>
        </w:rPr>
        <w:t xml:space="preserve"> </w:t>
      </w:r>
      <w:hyperlink r:id="rId10" w:history="1">
        <w:r w:rsidRPr="0060378B">
          <w:rPr>
            <w:rStyle w:val="Hyperlink"/>
            <w:rFonts w:ascii="MarkOT" w:hAnsi="MarkOT" w:cs="Arial"/>
          </w:rPr>
          <w:t>twankin@canto.org</w:t>
        </w:r>
      </w:hyperlink>
    </w:p>
    <w:p w:rsidR="00533BC5" w:rsidRDefault="00533BC5" w:rsidP="00533BC5">
      <w:pPr>
        <w:pStyle w:val="ListParagraph"/>
        <w:spacing w:line="360" w:lineRule="auto"/>
        <w:ind w:left="360" w:firstLine="360"/>
        <w:jc w:val="both"/>
        <w:rPr>
          <w:rFonts w:ascii="MarkOT" w:hAnsi="MarkOT" w:cs="Arial"/>
        </w:rPr>
      </w:pPr>
      <w:r>
        <w:rPr>
          <w:rFonts w:ascii="MarkOT" w:hAnsi="MarkOT" w:cs="Arial"/>
        </w:rPr>
        <w:t xml:space="preserve"> 1 868 622 7448 (T)</w:t>
      </w:r>
    </w:p>
    <w:p w:rsidR="00533BC5" w:rsidRDefault="00533BC5" w:rsidP="00533BC5">
      <w:pPr>
        <w:pStyle w:val="ListParagraph"/>
        <w:spacing w:line="360" w:lineRule="auto"/>
        <w:ind w:left="360" w:firstLine="360"/>
        <w:jc w:val="both"/>
        <w:rPr>
          <w:rFonts w:ascii="MarkOT" w:hAnsi="MarkOT" w:cs="Arial"/>
        </w:rPr>
      </w:pPr>
      <w:r>
        <w:rPr>
          <w:rFonts w:ascii="MarkOT" w:hAnsi="MarkOT" w:cs="Arial"/>
        </w:rPr>
        <w:t xml:space="preserve"> and</w:t>
      </w:r>
    </w:p>
    <w:p w:rsidR="00533BC5" w:rsidRPr="00D1744F" w:rsidRDefault="00533BC5" w:rsidP="00533BC5">
      <w:pPr>
        <w:pStyle w:val="ListParagraph"/>
        <w:spacing w:line="360" w:lineRule="auto"/>
        <w:jc w:val="both"/>
        <w:rPr>
          <w:rFonts w:ascii="MarkOT" w:hAnsi="MarkOT" w:cs="Arial"/>
          <w:b/>
        </w:rPr>
      </w:pPr>
      <w:r>
        <w:rPr>
          <w:rFonts w:ascii="MarkOT" w:hAnsi="MarkOT" w:cs="Arial"/>
        </w:rPr>
        <w:t xml:space="preserve"> </w:t>
      </w:r>
      <w:r w:rsidRPr="00D1744F">
        <w:rPr>
          <w:rFonts w:ascii="MarkOT" w:hAnsi="MarkOT" w:cs="Arial"/>
          <w:b/>
        </w:rPr>
        <w:t>Ms</w:t>
      </w:r>
      <w:r>
        <w:rPr>
          <w:rFonts w:ascii="MarkOT" w:hAnsi="MarkOT" w:cs="Arial"/>
          <w:b/>
        </w:rPr>
        <w:t>.</w:t>
      </w:r>
      <w:r>
        <w:rPr>
          <w:rFonts w:ascii="MarkOT" w:hAnsi="MarkOT" w:cs="Arial"/>
        </w:rPr>
        <w:t>.</w:t>
      </w:r>
      <w:r w:rsidRPr="00D1744F">
        <w:rPr>
          <w:rFonts w:ascii="MarkOT" w:hAnsi="MarkOT" w:cs="Arial"/>
          <w:b/>
        </w:rPr>
        <w:t>Melesia Sutherland</w:t>
      </w:r>
    </w:p>
    <w:p w:rsidR="00533BC5" w:rsidRDefault="00533BC5" w:rsidP="00533BC5">
      <w:pPr>
        <w:pStyle w:val="ListParagraph"/>
        <w:spacing w:line="360" w:lineRule="auto"/>
        <w:jc w:val="both"/>
        <w:rPr>
          <w:rFonts w:ascii="MarkOT" w:hAnsi="MarkOT" w:cs="Arial"/>
        </w:rPr>
      </w:pPr>
      <w:r>
        <w:rPr>
          <w:rFonts w:ascii="MarkOT" w:hAnsi="MarkOT" w:cs="Arial"/>
        </w:rPr>
        <w:t xml:space="preserve"> Chair, Regulatory &amp; Emerging Technologies Committee</w:t>
      </w:r>
    </w:p>
    <w:p w:rsidR="00533BC5" w:rsidRDefault="00533BC5" w:rsidP="00533BC5">
      <w:pPr>
        <w:pStyle w:val="ListParagraph"/>
        <w:spacing w:line="360" w:lineRule="auto"/>
        <w:jc w:val="both"/>
        <w:rPr>
          <w:rFonts w:ascii="MarkOT" w:hAnsi="MarkOT" w:cs="Arial"/>
        </w:rPr>
      </w:pPr>
      <w:r>
        <w:rPr>
          <w:rFonts w:ascii="MarkOT" w:hAnsi="MarkOT" w:cs="Arial"/>
        </w:rPr>
        <w:t xml:space="preserve"> CANTO</w:t>
      </w:r>
    </w:p>
    <w:p w:rsidR="00533BC5" w:rsidRDefault="00533BC5" w:rsidP="00533BC5">
      <w:pPr>
        <w:pStyle w:val="ListParagraph"/>
        <w:spacing w:line="360" w:lineRule="auto"/>
        <w:jc w:val="both"/>
        <w:rPr>
          <w:rFonts w:ascii="MarkOT" w:hAnsi="MarkOT" w:cs="Arial"/>
        </w:rPr>
      </w:pPr>
      <w:r>
        <w:rPr>
          <w:rFonts w:ascii="MarkOT" w:hAnsi="MarkOT" w:cs="Arial"/>
        </w:rPr>
        <w:t xml:space="preserve"> </w:t>
      </w:r>
      <w:hyperlink r:id="rId11" w:history="1">
        <w:r w:rsidRPr="0060378B">
          <w:rPr>
            <w:rStyle w:val="Hyperlink"/>
            <w:rFonts w:ascii="MarkOT" w:hAnsi="MarkOT" w:cs="Arial"/>
          </w:rPr>
          <w:t>melesia.campbell@cwc.com</w:t>
        </w:r>
      </w:hyperlink>
    </w:p>
    <w:p w:rsidR="00533BC5" w:rsidRDefault="00533BC5" w:rsidP="00533BC5">
      <w:pPr>
        <w:pStyle w:val="ListParagraph"/>
        <w:spacing w:line="360" w:lineRule="auto"/>
        <w:jc w:val="both"/>
        <w:rPr>
          <w:rFonts w:ascii="MarkOT" w:hAnsi="MarkOT" w:cs="Arial"/>
        </w:rPr>
      </w:pPr>
      <w:r>
        <w:rPr>
          <w:rFonts w:ascii="MarkOT" w:hAnsi="MarkOT" w:cs="Arial"/>
        </w:rPr>
        <w:t xml:space="preserve"> 1 876 919 1731 (M)</w:t>
      </w:r>
    </w:p>
    <w:p w:rsidR="00533BC5" w:rsidRDefault="00533BC5" w:rsidP="00533BC5">
      <w:pPr>
        <w:pStyle w:val="ListParagraph"/>
        <w:spacing w:line="360" w:lineRule="auto"/>
        <w:jc w:val="both"/>
        <w:rPr>
          <w:rFonts w:ascii="MarkOT" w:hAnsi="MarkOT" w:cs="Arial"/>
        </w:rPr>
      </w:pPr>
    </w:p>
    <w:p w:rsidR="00533BC5" w:rsidRDefault="00356653" w:rsidP="00533BC5">
      <w:pPr>
        <w:pStyle w:val="ListParagraph"/>
        <w:numPr>
          <w:ilvl w:val="0"/>
          <w:numId w:val="1"/>
        </w:numPr>
        <w:spacing w:line="360" w:lineRule="auto"/>
        <w:jc w:val="both"/>
        <w:rPr>
          <w:rFonts w:ascii="MarkOT" w:hAnsi="MarkOT" w:cs="Arial"/>
          <w:b/>
        </w:rPr>
      </w:pPr>
      <w:r>
        <w:rPr>
          <w:rFonts w:ascii="MarkOT" w:hAnsi="MarkOT" w:cs="Arial"/>
          <w:b/>
        </w:rPr>
        <w:t>MANAGEMENT OF UNIVERSAL SERVICE FUNDS</w:t>
      </w:r>
    </w:p>
    <w:p w:rsidR="00182111" w:rsidRPr="00356653" w:rsidRDefault="00182111" w:rsidP="00356653">
      <w:pPr>
        <w:spacing w:line="360" w:lineRule="auto"/>
        <w:ind w:firstLine="360"/>
        <w:jc w:val="both"/>
        <w:rPr>
          <w:rFonts w:ascii="MarkOT" w:hAnsi="MarkOT" w:cs="Arial"/>
          <w:b/>
        </w:rPr>
      </w:pPr>
      <w:r w:rsidRPr="00356653">
        <w:rPr>
          <w:rFonts w:ascii="MarkOT" w:hAnsi="MarkOT" w:cs="Arial"/>
          <w:b/>
        </w:rPr>
        <w:t>NTRCs Ineffective in Advancing Universal Access/ Universal Service</w:t>
      </w:r>
    </w:p>
    <w:p w:rsidR="00397BEB" w:rsidRDefault="00397BEB" w:rsidP="00533BC5">
      <w:pPr>
        <w:pStyle w:val="ListParagraph"/>
        <w:numPr>
          <w:ilvl w:val="1"/>
          <w:numId w:val="1"/>
        </w:numPr>
        <w:spacing w:line="360" w:lineRule="auto"/>
        <w:jc w:val="both"/>
        <w:rPr>
          <w:rFonts w:ascii="MarkOT" w:hAnsi="MarkOT" w:cs="Arial"/>
        </w:rPr>
      </w:pPr>
      <w:r w:rsidRPr="00397BEB">
        <w:rPr>
          <w:rFonts w:ascii="MarkOT" w:hAnsi="MarkOT" w:cs="Arial"/>
        </w:rPr>
        <w:t xml:space="preserve">ECTEL comes to the </w:t>
      </w:r>
      <w:r>
        <w:rPr>
          <w:rFonts w:ascii="MarkOT" w:hAnsi="MarkOT" w:cs="Arial"/>
        </w:rPr>
        <w:t>industry proposing an increase in the annual USF contribution from 1% to 2% over the next four (4) years</w:t>
      </w:r>
      <w:r w:rsidR="00356653">
        <w:rPr>
          <w:rFonts w:ascii="MarkOT" w:hAnsi="MarkOT" w:cs="Arial"/>
        </w:rPr>
        <w:t xml:space="preserve"> and the creation of a reserve fund </w:t>
      </w:r>
      <w:r>
        <w:rPr>
          <w:rFonts w:ascii="MarkOT" w:hAnsi="MarkOT" w:cs="Arial"/>
        </w:rPr>
        <w:t>. Yet ECTEL has not demonstrated the effectiveness of the management of available funds nor has ECTEL demonstrated the need for additional funding. In fact, ECTEL has not identified the problem that this consultation is intended to resolve</w:t>
      </w:r>
      <w:r w:rsidR="00156A83">
        <w:rPr>
          <w:rFonts w:ascii="MarkOT" w:hAnsi="MarkOT" w:cs="Arial"/>
        </w:rPr>
        <w:t>. ECTEL merely stakes a claim to wanting more of the industry’s revenues. Nor does ECTEL recognize that there are always capital constraints – operators cannot make all  the investments they would like because of capital constraints so how then can the regulator expect to have no restraint in funding projects.</w:t>
      </w:r>
    </w:p>
    <w:p w:rsidR="00156A83" w:rsidRPr="00156A83" w:rsidRDefault="00156A83" w:rsidP="00156A83">
      <w:pPr>
        <w:pStyle w:val="ListParagraph"/>
        <w:rPr>
          <w:rFonts w:ascii="MarkOT" w:hAnsi="MarkOT" w:cs="Arial"/>
        </w:rPr>
      </w:pPr>
    </w:p>
    <w:p w:rsidR="00D65D0D" w:rsidRDefault="009125B5" w:rsidP="00533BC5">
      <w:pPr>
        <w:pStyle w:val="ListParagraph"/>
        <w:numPr>
          <w:ilvl w:val="1"/>
          <w:numId w:val="1"/>
        </w:numPr>
        <w:spacing w:line="360" w:lineRule="auto"/>
        <w:jc w:val="both"/>
        <w:rPr>
          <w:rFonts w:ascii="MarkOT" w:hAnsi="MarkOT" w:cs="Arial"/>
        </w:rPr>
      </w:pPr>
      <w:r>
        <w:rPr>
          <w:rFonts w:ascii="MarkOT" w:hAnsi="MarkOT" w:cs="Arial"/>
        </w:rPr>
        <w:t xml:space="preserve">At appendix </w:t>
      </w:r>
      <w:r w:rsidR="00DC2F37">
        <w:rPr>
          <w:rFonts w:ascii="MarkOT" w:hAnsi="MarkOT" w:cs="Arial"/>
        </w:rPr>
        <w:t>1, section 2, ECTEL sets out a table</w:t>
      </w:r>
      <w:r w:rsidR="00D65D0D">
        <w:rPr>
          <w:rFonts w:ascii="MarkOT" w:hAnsi="MarkOT" w:cs="Arial"/>
        </w:rPr>
        <w:t xml:space="preserve"> for illustrative purposes, which</w:t>
      </w:r>
      <w:r w:rsidR="00DC2F37">
        <w:rPr>
          <w:rFonts w:ascii="MarkOT" w:hAnsi="MarkOT" w:cs="Arial"/>
        </w:rPr>
        <w:t xml:space="preserve"> shows the implementation rate of USF for fiscal year 2014. At line 3 in this table, ECTEL has the line item</w:t>
      </w:r>
      <w:r w:rsidR="00DC2F37" w:rsidRPr="00DC2F37">
        <w:t xml:space="preserve"> </w:t>
      </w:r>
      <w:r w:rsidR="00DC2F37">
        <w:t>‘</w:t>
      </w:r>
      <w:r w:rsidR="00DC2F37" w:rsidRPr="00DC2F37">
        <w:rPr>
          <w:i/>
        </w:rPr>
        <w:t>Total Funds Committed on Current or New Projects</w:t>
      </w:r>
      <w:r w:rsidR="00DC2F37">
        <w:rPr>
          <w:rFonts w:ascii="MarkOT" w:hAnsi="MarkOT" w:cs="Arial"/>
        </w:rPr>
        <w:t>‘</w:t>
      </w:r>
      <w:r w:rsidR="00C67316">
        <w:rPr>
          <w:rFonts w:ascii="MarkOT" w:hAnsi="MarkOT" w:cs="Arial"/>
        </w:rPr>
        <w:t xml:space="preserve"> </w:t>
      </w:r>
      <w:r w:rsidR="00D65D0D">
        <w:rPr>
          <w:rFonts w:ascii="MarkOT" w:hAnsi="MarkOT" w:cs="Arial"/>
        </w:rPr>
        <w:t>providing</w:t>
      </w:r>
      <w:r w:rsidR="00DC2F37">
        <w:rPr>
          <w:rFonts w:ascii="MarkOT" w:hAnsi="MarkOT" w:cs="Arial"/>
        </w:rPr>
        <w:t xml:space="preserve"> </w:t>
      </w:r>
      <w:r w:rsidR="00356653">
        <w:rPr>
          <w:rFonts w:ascii="MarkOT" w:hAnsi="MarkOT" w:cs="Arial"/>
        </w:rPr>
        <w:t>little</w:t>
      </w:r>
      <w:r w:rsidR="00DC2F37">
        <w:rPr>
          <w:rFonts w:ascii="MarkOT" w:hAnsi="MarkOT" w:cs="Arial"/>
        </w:rPr>
        <w:t xml:space="preserve"> </w:t>
      </w:r>
      <w:r w:rsidR="00D65D0D">
        <w:rPr>
          <w:rFonts w:ascii="MarkOT" w:hAnsi="MarkOT" w:cs="Arial"/>
        </w:rPr>
        <w:t xml:space="preserve">supporting information </w:t>
      </w:r>
      <w:r w:rsidR="00DC2F37">
        <w:rPr>
          <w:rFonts w:ascii="MarkOT" w:hAnsi="MarkOT" w:cs="Arial"/>
        </w:rPr>
        <w:t xml:space="preserve">of what the current or new projects are. </w:t>
      </w:r>
      <w:r w:rsidR="00D65D0D">
        <w:rPr>
          <w:rFonts w:ascii="MarkOT" w:hAnsi="MarkOT" w:cs="Arial"/>
        </w:rPr>
        <w:t xml:space="preserve">Based on the table ECTEL assesses </w:t>
      </w:r>
      <w:r w:rsidR="00D65D0D">
        <w:rPr>
          <w:rFonts w:ascii="MarkOT" w:hAnsi="MarkOT" w:cs="Arial"/>
        </w:rPr>
        <w:lastRenderedPageBreak/>
        <w:t xml:space="preserve">that the rate of implementation is 100% </w:t>
      </w:r>
      <w:r w:rsidR="00356653">
        <w:rPr>
          <w:rFonts w:ascii="MarkOT" w:hAnsi="MarkOT" w:cs="Arial"/>
        </w:rPr>
        <w:t xml:space="preserve">for </w:t>
      </w:r>
      <w:r w:rsidR="00D65D0D">
        <w:rPr>
          <w:rFonts w:ascii="MarkOT" w:hAnsi="MarkOT" w:cs="Arial"/>
        </w:rPr>
        <w:t>St. Vincent</w:t>
      </w:r>
      <w:r w:rsidR="00A12971">
        <w:rPr>
          <w:rFonts w:ascii="MarkOT" w:hAnsi="MarkOT" w:cs="Arial"/>
        </w:rPr>
        <w:t xml:space="preserve"> and the Grenadines</w:t>
      </w:r>
      <w:r w:rsidR="00D65D0D">
        <w:rPr>
          <w:rFonts w:ascii="MarkOT" w:hAnsi="MarkOT" w:cs="Arial"/>
        </w:rPr>
        <w:t xml:space="preserve">; 56% </w:t>
      </w:r>
      <w:r w:rsidR="00356653">
        <w:rPr>
          <w:rFonts w:ascii="MarkOT" w:hAnsi="MarkOT" w:cs="Arial"/>
        </w:rPr>
        <w:t xml:space="preserve">for </w:t>
      </w:r>
      <w:r w:rsidR="00A12971">
        <w:rPr>
          <w:rFonts w:ascii="MarkOT" w:hAnsi="MarkOT" w:cs="Arial"/>
        </w:rPr>
        <w:t xml:space="preserve">Commonwealth of </w:t>
      </w:r>
      <w:r w:rsidR="00D65D0D">
        <w:rPr>
          <w:rFonts w:ascii="MarkOT" w:hAnsi="MarkOT" w:cs="Arial"/>
        </w:rPr>
        <w:t xml:space="preserve">Dominica; 53% </w:t>
      </w:r>
      <w:r w:rsidR="00356653">
        <w:rPr>
          <w:rFonts w:ascii="MarkOT" w:hAnsi="MarkOT" w:cs="Arial"/>
        </w:rPr>
        <w:t xml:space="preserve">for </w:t>
      </w:r>
      <w:r w:rsidR="00D65D0D">
        <w:rPr>
          <w:rFonts w:ascii="MarkOT" w:hAnsi="MarkOT" w:cs="Arial"/>
        </w:rPr>
        <w:t xml:space="preserve">St. Kitts &amp; Nevis; 30% </w:t>
      </w:r>
      <w:r w:rsidR="00356653">
        <w:rPr>
          <w:rFonts w:ascii="MarkOT" w:hAnsi="MarkOT" w:cs="Arial"/>
        </w:rPr>
        <w:t xml:space="preserve">for </w:t>
      </w:r>
      <w:r w:rsidR="00D65D0D">
        <w:rPr>
          <w:rFonts w:ascii="MarkOT" w:hAnsi="MarkOT" w:cs="Arial"/>
        </w:rPr>
        <w:t>St.Lucia and 17% Grenada</w:t>
      </w:r>
      <w:r w:rsidR="00356653">
        <w:rPr>
          <w:rFonts w:ascii="MarkOT" w:hAnsi="MarkOT" w:cs="Arial"/>
        </w:rPr>
        <w:t>.</w:t>
      </w:r>
    </w:p>
    <w:p w:rsidR="00D65D0D" w:rsidRPr="00D65D0D" w:rsidRDefault="00D65D0D" w:rsidP="00D65D0D">
      <w:pPr>
        <w:pStyle w:val="ListParagraph"/>
        <w:rPr>
          <w:rFonts w:ascii="MarkOT" w:hAnsi="MarkOT" w:cs="Arial"/>
        </w:rPr>
      </w:pPr>
    </w:p>
    <w:p w:rsidR="00156A83" w:rsidRDefault="00D65D0D" w:rsidP="00533BC5">
      <w:pPr>
        <w:pStyle w:val="ListParagraph"/>
        <w:numPr>
          <w:ilvl w:val="1"/>
          <w:numId w:val="1"/>
        </w:numPr>
        <w:spacing w:line="360" w:lineRule="auto"/>
        <w:jc w:val="both"/>
        <w:rPr>
          <w:rFonts w:ascii="MarkOT" w:hAnsi="MarkOT" w:cs="Arial"/>
        </w:rPr>
      </w:pPr>
      <w:r>
        <w:rPr>
          <w:rFonts w:ascii="MarkOT" w:hAnsi="MarkOT" w:cs="Arial"/>
        </w:rPr>
        <w:t xml:space="preserve">The </w:t>
      </w:r>
      <w:r w:rsidR="009125B5">
        <w:rPr>
          <w:rFonts w:ascii="MarkOT" w:hAnsi="MarkOT" w:cs="Arial"/>
        </w:rPr>
        <w:t>Telecommunications (Universal Fund Contribution) Order became effective January 1, 2008.</w:t>
      </w:r>
      <w:r>
        <w:rPr>
          <w:rFonts w:ascii="MarkOT" w:hAnsi="MarkOT" w:cs="Arial"/>
        </w:rPr>
        <w:t xml:space="preserve"> The Order sets out the USF contribution which now stands at 1% of Gross Annual Revenues. This means that providers would have been contributing to the USF for seven (7) years and so the total funds collected by the NTRCs would have been the funds and interest on the funds accumulated over that period. It also means that the NTRCs had </w:t>
      </w:r>
      <w:r w:rsidR="00FF1D10">
        <w:rPr>
          <w:rFonts w:ascii="MarkOT" w:hAnsi="MarkOT" w:cs="Arial"/>
        </w:rPr>
        <w:t xml:space="preserve">close to </w:t>
      </w:r>
      <w:r>
        <w:rPr>
          <w:rFonts w:ascii="MarkOT" w:hAnsi="MarkOT" w:cs="Arial"/>
        </w:rPr>
        <w:t xml:space="preserve">a decade to </w:t>
      </w:r>
      <w:r w:rsidR="00FF1D10">
        <w:rPr>
          <w:rFonts w:ascii="MarkOT" w:hAnsi="MarkOT" w:cs="Arial"/>
        </w:rPr>
        <w:t xml:space="preserve">source out </w:t>
      </w:r>
      <w:r>
        <w:rPr>
          <w:rFonts w:ascii="MarkOT" w:hAnsi="MarkOT" w:cs="Arial"/>
        </w:rPr>
        <w:t xml:space="preserve">projects to fund. </w:t>
      </w:r>
    </w:p>
    <w:p w:rsidR="00D65D0D" w:rsidRPr="00D65D0D" w:rsidRDefault="00D65D0D" w:rsidP="00D65D0D">
      <w:pPr>
        <w:pStyle w:val="ListParagraph"/>
        <w:rPr>
          <w:rFonts w:ascii="MarkOT" w:hAnsi="MarkOT" w:cs="Arial"/>
        </w:rPr>
      </w:pPr>
    </w:p>
    <w:p w:rsidR="00D65D0D" w:rsidRDefault="00D65D0D" w:rsidP="00533BC5">
      <w:pPr>
        <w:pStyle w:val="ListParagraph"/>
        <w:numPr>
          <w:ilvl w:val="1"/>
          <w:numId w:val="1"/>
        </w:numPr>
        <w:spacing w:line="360" w:lineRule="auto"/>
        <w:jc w:val="both"/>
        <w:rPr>
          <w:rFonts w:ascii="MarkOT" w:hAnsi="MarkOT" w:cs="Arial"/>
        </w:rPr>
      </w:pPr>
      <w:r>
        <w:rPr>
          <w:rFonts w:ascii="MarkOT" w:hAnsi="MarkOT" w:cs="Arial"/>
        </w:rPr>
        <w:t xml:space="preserve">Unfortunately because ECTEL did not choose to do an assessment of the performance of the USF over the </w:t>
      </w:r>
      <w:r w:rsidR="00FF1D10">
        <w:rPr>
          <w:rFonts w:ascii="MarkOT" w:hAnsi="MarkOT" w:cs="Arial"/>
        </w:rPr>
        <w:t>seven-year period,</w:t>
      </w:r>
      <w:r w:rsidR="00A12971">
        <w:rPr>
          <w:rFonts w:ascii="MarkOT" w:hAnsi="MarkOT" w:cs="Arial"/>
        </w:rPr>
        <w:t xml:space="preserve"> which it should have,</w:t>
      </w:r>
      <w:r w:rsidR="00FF1D10">
        <w:rPr>
          <w:rFonts w:ascii="MarkOT" w:hAnsi="MarkOT" w:cs="Arial"/>
        </w:rPr>
        <w:t xml:space="preserve"> its table with </w:t>
      </w:r>
      <w:r w:rsidR="00DF05B3">
        <w:rPr>
          <w:rFonts w:ascii="MarkOT" w:hAnsi="MarkOT" w:cs="Arial"/>
        </w:rPr>
        <w:t>just a</w:t>
      </w:r>
      <w:r w:rsidR="00FF1D10">
        <w:rPr>
          <w:rFonts w:ascii="MarkOT" w:hAnsi="MarkOT" w:cs="Arial"/>
        </w:rPr>
        <w:t xml:space="preserve"> snapshot of 2014 obfuscates, save for St. Vincent, that the rate of implementation of USF </w:t>
      </w:r>
      <w:r w:rsidR="00DF05B3">
        <w:rPr>
          <w:rFonts w:ascii="MarkOT" w:hAnsi="MarkOT" w:cs="Arial"/>
        </w:rPr>
        <w:t xml:space="preserve">in the ECTEL countries </w:t>
      </w:r>
      <w:r w:rsidR="009B664E">
        <w:rPr>
          <w:rFonts w:ascii="MarkOT" w:hAnsi="MarkOT" w:cs="Arial"/>
        </w:rPr>
        <w:t xml:space="preserve">is </w:t>
      </w:r>
      <w:r w:rsidR="00FF1D10">
        <w:rPr>
          <w:rFonts w:ascii="MarkOT" w:hAnsi="MarkOT" w:cs="Arial"/>
        </w:rPr>
        <w:t>appalling.</w:t>
      </w:r>
    </w:p>
    <w:p w:rsidR="00180013" w:rsidRPr="00180013" w:rsidRDefault="00180013" w:rsidP="00180013">
      <w:pPr>
        <w:pStyle w:val="ListParagraph"/>
        <w:rPr>
          <w:rFonts w:ascii="MarkOT" w:hAnsi="MarkOT" w:cs="Arial"/>
        </w:rPr>
      </w:pPr>
    </w:p>
    <w:p w:rsidR="009B664E" w:rsidRDefault="00180013" w:rsidP="00533BC5">
      <w:pPr>
        <w:pStyle w:val="ListParagraph"/>
        <w:numPr>
          <w:ilvl w:val="1"/>
          <w:numId w:val="1"/>
        </w:numPr>
        <w:spacing w:line="360" w:lineRule="auto"/>
        <w:jc w:val="both"/>
        <w:rPr>
          <w:rFonts w:ascii="MarkOT" w:hAnsi="MarkOT" w:cs="Arial"/>
        </w:rPr>
      </w:pPr>
      <w:r>
        <w:rPr>
          <w:rFonts w:ascii="MarkOT" w:hAnsi="MarkOT" w:cs="Arial"/>
        </w:rPr>
        <w:t xml:space="preserve">After seven (7) years of collections, Grenada has disbursed less than 1% of funds; St. Lucia has disbursed 4%; </w:t>
      </w:r>
      <w:r w:rsidR="00A12971">
        <w:rPr>
          <w:rFonts w:ascii="MarkOT" w:hAnsi="MarkOT" w:cs="Arial"/>
        </w:rPr>
        <w:t xml:space="preserve">Commonwealth of </w:t>
      </w:r>
      <w:r>
        <w:rPr>
          <w:rFonts w:ascii="MarkOT" w:hAnsi="MarkOT" w:cs="Arial"/>
        </w:rPr>
        <w:t>Dominica 15%; St.Kitts &amp; Nevis 15.5% and St. Vincent</w:t>
      </w:r>
      <w:r w:rsidR="00A12971">
        <w:rPr>
          <w:rFonts w:ascii="MarkOT" w:hAnsi="MarkOT" w:cs="Arial"/>
        </w:rPr>
        <w:t xml:space="preserve"> and the Gren</w:t>
      </w:r>
      <w:r w:rsidR="00C67316">
        <w:rPr>
          <w:rFonts w:ascii="MarkOT" w:hAnsi="MarkOT" w:cs="Arial"/>
        </w:rPr>
        <w:t>a</w:t>
      </w:r>
      <w:r w:rsidR="00A12971">
        <w:rPr>
          <w:rFonts w:ascii="MarkOT" w:hAnsi="MarkOT" w:cs="Arial"/>
        </w:rPr>
        <w:t>dines</w:t>
      </w:r>
      <w:r>
        <w:rPr>
          <w:rFonts w:ascii="MarkOT" w:hAnsi="MarkOT" w:cs="Arial"/>
        </w:rPr>
        <w:t xml:space="preserve"> 76%. Given these rates of disbursal</w:t>
      </w:r>
      <w:r w:rsidR="00D3521C">
        <w:rPr>
          <w:rFonts w:ascii="MarkOT" w:hAnsi="MarkOT" w:cs="Arial"/>
        </w:rPr>
        <w:t xml:space="preserve"> over the past seven (7) years</w:t>
      </w:r>
      <w:r>
        <w:rPr>
          <w:rFonts w:ascii="MarkOT" w:hAnsi="MarkOT" w:cs="Arial"/>
        </w:rPr>
        <w:t xml:space="preserve">, it is </w:t>
      </w:r>
      <w:r w:rsidR="00A12971">
        <w:rPr>
          <w:rFonts w:ascii="MarkOT" w:hAnsi="MarkOT" w:cs="Arial"/>
        </w:rPr>
        <w:t>incredible</w:t>
      </w:r>
      <w:r w:rsidR="00C67316">
        <w:rPr>
          <w:rFonts w:ascii="MarkOT" w:hAnsi="MarkOT" w:cs="Arial"/>
        </w:rPr>
        <w:t xml:space="preserve"> </w:t>
      </w:r>
      <w:r>
        <w:rPr>
          <w:rFonts w:ascii="MarkOT" w:hAnsi="MarkOT" w:cs="Arial"/>
        </w:rPr>
        <w:t xml:space="preserve">that </w:t>
      </w:r>
      <w:r w:rsidR="00DF05B3">
        <w:rPr>
          <w:rFonts w:ascii="MarkOT" w:hAnsi="MarkOT" w:cs="Arial"/>
        </w:rPr>
        <w:t xml:space="preserve">in fiscal year 2015 only, </w:t>
      </w:r>
      <w:r w:rsidR="00A84AA2">
        <w:rPr>
          <w:rFonts w:ascii="MarkOT" w:hAnsi="MarkOT" w:cs="Arial"/>
        </w:rPr>
        <w:t xml:space="preserve">Grenada’s utilization will jump from less than 1% up to 2014 to 16.5% according to line 3 of ECTEL’s table; the same can be said of St. Lucia moving from 4% utilization to 27%; Dominica moving from 15% to 49%; </w:t>
      </w:r>
      <w:r w:rsidR="006E2353">
        <w:rPr>
          <w:rFonts w:ascii="MarkOT" w:hAnsi="MarkOT" w:cs="Arial"/>
        </w:rPr>
        <w:t xml:space="preserve">St.Kitts moving from 15.5% to 45%. </w:t>
      </w:r>
      <w:r w:rsidR="009B664E">
        <w:rPr>
          <w:rFonts w:ascii="MarkOT" w:hAnsi="MarkOT" w:cs="Arial"/>
        </w:rPr>
        <w:t xml:space="preserve">It then suggest that the sudden, projected soar in utilization post 2014 is </w:t>
      </w:r>
      <w:r w:rsidR="00A12971">
        <w:rPr>
          <w:rFonts w:ascii="MarkOT" w:hAnsi="MarkOT" w:cs="Arial"/>
        </w:rPr>
        <w:t>meant to distract from  the poor performance of the USFs in Grenada, St. Lucia, Commonwealth of Dominica and St. Kitts and Nevis over the past seven (7) years</w:t>
      </w:r>
      <w:r w:rsidR="00A12971">
        <w:rPr>
          <w:rFonts w:ascii="MarkOT" w:hAnsi="MarkOT" w:cs="Arial"/>
        </w:rPr>
        <w:t>.</w:t>
      </w:r>
    </w:p>
    <w:p w:rsidR="009B664E" w:rsidRPr="009B664E" w:rsidRDefault="009B664E" w:rsidP="009B664E">
      <w:pPr>
        <w:pStyle w:val="ListParagraph"/>
        <w:rPr>
          <w:rFonts w:ascii="MarkOT" w:hAnsi="MarkOT" w:cs="Arial"/>
        </w:rPr>
      </w:pPr>
    </w:p>
    <w:p w:rsidR="00D3521C" w:rsidRDefault="006E2353" w:rsidP="00533BC5">
      <w:pPr>
        <w:pStyle w:val="ListParagraph"/>
        <w:numPr>
          <w:ilvl w:val="1"/>
          <w:numId w:val="1"/>
        </w:numPr>
        <w:spacing w:line="360" w:lineRule="auto"/>
        <w:jc w:val="both"/>
        <w:rPr>
          <w:rFonts w:ascii="MarkOT" w:hAnsi="MarkOT" w:cs="Arial"/>
        </w:rPr>
      </w:pPr>
      <w:r>
        <w:rPr>
          <w:rFonts w:ascii="MarkOT" w:hAnsi="MarkOT" w:cs="Arial"/>
        </w:rPr>
        <w:t xml:space="preserve">Because </w:t>
      </w:r>
      <w:r w:rsidR="00DF05B3">
        <w:rPr>
          <w:rFonts w:ascii="MarkOT" w:hAnsi="MarkOT" w:cs="Arial"/>
        </w:rPr>
        <w:t xml:space="preserve">St. Vincent has been using up its funding and because </w:t>
      </w:r>
      <w:r>
        <w:rPr>
          <w:rFonts w:ascii="MarkOT" w:hAnsi="MarkOT" w:cs="Arial"/>
        </w:rPr>
        <w:t xml:space="preserve">of the smaller amount of funds remaining compared to the other ECTEL countries, it is conceivable that St. Vincent will use up the </w:t>
      </w:r>
      <w:r w:rsidR="00DF05B3">
        <w:rPr>
          <w:rFonts w:ascii="MarkOT" w:hAnsi="MarkOT" w:cs="Arial"/>
        </w:rPr>
        <w:t xml:space="preserve">remaining </w:t>
      </w:r>
      <w:r>
        <w:rPr>
          <w:rFonts w:ascii="MarkOT" w:hAnsi="MarkOT" w:cs="Arial"/>
        </w:rPr>
        <w:t>available fund</w:t>
      </w:r>
      <w:r w:rsidR="00D3521C">
        <w:rPr>
          <w:rFonts w:ascii="MarkOT" w:hAnsi="MarkOT" w:cs="Arial"/>
        </w:rPr>
        <w:t>s.</w:t>
      </w:r>
      <w:r w:rsidR="00F00BB3">
        <w:rPr>
          <w:rFonts w:ascii="MarkOT" w:hAnsi="MarkOT" w:cs="Arial"/>
        </w:rPr>
        <w:t xml:space="preserve"> </w:t>
      </w:r>
    </w:p>
    <w:p w:rsidR="00DF05B3" w:rsidRPr="00DF05B3" w:rsidRDefault="00DF05B3" w:rsidP="00DF05B3">
      <w:pPr>
        <w:pStyle w:val="ListParagraph"/>
        <w:rPr>
          <w:rFonts w:ascii="MarkOT" w:hAnsi="MarkOT" w:cs="Arial"/>
        </w:rPr>
      </w:pPr>
    </w:p>
    <w:p w:rsidR="00D3521C" w:rsidRDefault="00DF05B3" w:rsidP="005109A0">
      <w:pPr>
        <w:pStyle w:val="ListParagraph"/>
        <w:numPr>
          <w:ilvl w:val="1"/>
          <w:numId w:val="1"/>
        </w:numPr>
        <w:spacing w:line="360" w:lineRule="auto"/>
        <w:jc w:val="both"/>
        <w:rPr>
          <w:rFonts w:ascii="MarkOT" w:hAnsi="MarkOT" w:cs="Arial"/>
        </w:rPr>
      </w:pPr>
      <w:r w:rsidRPr="00182111">
        <w:rPr>
          <w:rFonts w:ascii="MarkOT" w:hAnsi="MarkOT" w:cs="Arial"/>
        </w:rPr>
        <w:t xml:space="preserve">Save for St. Vincent, the rate of disbursement of the USF in the ECTEL countries over seven (7) years </w:t>
      </w:r>
      <w:r w:rsidR="00182111" w:rsidRPr="00182111">
        <w:rPr>
          <w:rFonts w:ascii="MarkOT" w:hAnsi="MarkOT" w:cs="Arial"/>
        </w:rPr>
        <w:t xml:space="preserve">have demonstrated that the NTRCs have been ineffective in advancing either universal </w:t>
      </w:r>
      <w:r w:rsidR="00A12971" w:rsidRPr="00182111">
        <w:rPr>
          <w:rFonts w:ascii="MarkOT" w:hAnsi="MarkOT" w:cs="Arial"/>
        </w:rPr>
        <w:t>access</w:t>
      </w:r>
      <w:r w:rsidR="00A12971" w:rsidRPr="00182111">
        <w:rPr>
          <w:rFonts w:ascii="MarkOT" w:hAnsi="MarkOT" w:cs="Arial"/>
        </w:rPr>
        <w:t xml:space="preserve"> </w:t>
      </w:r>
      <w:r w:rsidR="00A12971">
        <w:rPr>
          <w:rFonts w:ascii="MarkOT" w:hAnsi="MarkOT" w:cs="Arial"/>
        </w:rPr>
        <w:t xml:space="preserve">or </w:t>
      </w:r>
      <w:r w:rsidR="00182111" w:rsidRPr="00182111">
        <w:rPr>
          <w:rFonts w:ascii="MarkOT" w:hAnsi="MarkOT" w:cs="Arial"/>
        </w:rPr>
        <w:t>service</w:t>
      </w:r>
      <w:r w:rsidR="00C67316">
        <w:rPr>
          <w:rFonts w:ascii="MarkOT" w:hAnsi="MarkOT" w:cs="Arial"/>
        </w:rPr>
        <w:t>.</w:t>
      </w:r>
      <w:r w:rsidR="00182111" w:rsidRPr="00182111">
        <w:rPr>
          <w:rFonts w:ascii="MarkOT" w:hAnsi="MarkOT" w:cs="Arial"/>
        </w:rPr>
        <w:t xml:space="preserve"> And since past performance is the best indicator that </w:t>
      </w:r>
      <w:r w:rsidR="00182111">
        <w:rPr>
          <w:rFonts w:ascii="MarkOT" w:hAnsi="MarkOT" w:cs="Arial"/>
        </w:rPr>
        <w:t>CANTO has of</w:t>
      </w:r>
      <w:r w:rsidR="00182111" w:rsidRPr="00182111">
        <w:rPr>
          <w:rFonts w:ascii="MarkOT" w:hAnsi="MarkOT" w:cs="Arial"/>
        </w:rPr>
        <w:t xml:space="preserve"> future performance, there is no indication that more </w:t>
      </w:r>
      <w:r w:rsidR="00182111">
        <w:rPr>
          <w:rFonts w:ascii="MarkOT" w:hAnsi="MarkOT" w:cs="Arial"/>
        </w:rPr>
        <w:t>funding</w:t>
      </w:r>
      <w:r w:rsidR="00182111" w:rsidRPr="00182111">
        <w:rPr>
          <w:rFonts w:ascii="MarkOT" w:hAnsi="MarkOT" w:cs="Arial"/>
        </w:rPr>
        <w:t xml:space="preserve"> will cause the </w:t>
      </w:r>
      <w:r w:rsidR="00182111" w:rsidRPr="00182111">
        <w:rPr>
          <w:rFonts w:ascii="MarkOT" w:hAnsi="MarkOT" w:cs="Arial"/>
        </w:rPr>
        <w:lastRenderedPageBreak/>
        <w:t xml:space="preserve">NTRCs to be any more effective.  Yet the proposed increased levy will lessen the ability of providers to roll-out service. </w:t>
      </w:r>
    </w:p>
    <w:p w:rsidR="008371E8" w:rsidRPr="008371E8" w:rsidRDefault="008371E8" w:rsidP="008371E8">
      <w:pPr>
        <w:pStyle w:val="ListParagraph"/>
        <w:rPr>
          <w:rFonts w:ascii="MarkOT" w:hAnsi="MarkOT" w:cs="Arial"/>
        </w:rPr>
      </w:pPr>
    </w:p>
    <w:p w:rsidR="008371E8" w:rsidRDefault="008371E8" w:rsidP="005109A0">
      <w:pPr>
        <w:pStyle w:val="ListParagraph"/>
        <w:numPr>
          <w:ilvl w:val="1"/>
          <w:numId w:val="1"/>
        </w:numPr>
        <w:spacing w:line="360" w:lineRule="auto"/>
        <w:jc w:val="both"/>
        <w:rPr>
          <w:rFonts w:ascii="MarkOT" w:hAnsi="MarkOT" w:cs="Arial"/>
        </w:rPr>
      </w:pPr>
      <w:r>
        <w:rPr>
          <w:rFonts w:ascii="MarkOT" w:hAnsi="MarkOT" w:cs="Arial"/>
        </w:rPr>
        <w:t>Perhaps it is that because there are no penalties for NTRCs sitting on funds and there is not yet a requirement to refund operators any unused funds there is no incentive for the NTRCS to fund projects. Sadly, this is despite the need for more and more unconnected person to connect to networks to fuel economic growth.</w:t>
      </w:r>
    </w:p>
    <w:p w:rsidR="009B664E" w:rsidRPr="009B664E" w:rsidRDefault="009B664E" w:rsidP="009B664E">
      <w:pPr>
        <w:pStyle w:val="ListParagraph"/>
        <w:rPr>
          <w:rFonts w:ascii="MarkOT" w:hAnsi="MarkOT" w:cs="Arial"/>
        </w:rPr>
      </w:pPr>
    </w:p>
    <w:p w:rsidR="009B664E" w:rsidRDefault="009B664E" w:rsidP="009B664E">
      <w:pPr>
        <w:pStyle w:val="ListParagraph"/>
        <w:numPr>
          <w:ilvl w:val="1"/>
          <w:numId w:val="1"/>
        </w:numPr>
        <w:spacing w:line="360" w:lineRule="auto"/>
        <w:jc w:val="both"/>
        <w:rPr>
          <w:rFonts w:ascii="MarkOT" w:hAnsi="MarkOT" w:cs="Arial"/>
        </w:rPr>
      </w:pPr>
      <w:r>
        <w:rPr>
          <w:rFonts w:ascii="MarkOT" w:hAnsi="MarkOT" w:cs="Arial"/>
        </w:rPr>
        <w:t>Below, LIME has inserted in ECTEL’s Table 1, two line items, labelled ‘</w:t>
      </w:r>
      <w:r w:rsidRPr="00D3521C">
        <w:rPr>
          <w:rFonts w:ascii="MarkOT" w:hAnsi="MarkOT" w:cs="Arial"/>
          <w:b/>
          <w:i/>
        </w:rPr>
        <w:t>% Funds Disbursed from 2008 to 2014’</w:t>
      </w:r>
      <w:r>
        <w:rPr>
          <w:rFonts w:ascii="MarkOT" w:hAnsi="MarkOT" w:cs="Arial"/>
        </w:rPr>
        <w:t xml:space="preserve"> and </w:t>
      </w:r>
      <w:r w:rsidRPr="009B664E">
        <w:rPr>
          <w:rFonts w:ascii="MarkOT" w:hAnsi="MarkOT" w:cs="Arial"/>
          <w:b/>
          <w:i/>
        </w:rPr>
        <w:t xml:space="preserve">‘% Funds Committed to New Projects </w:t>
      </w:r>
      <w:r>
        <w:rPr>
          <w:rFonts w:ascii="MarkOT" w:hAnsi="MarkOT" w:cs="Arial"/>
          <w:b/>
          <w:i/>
        </w:rPr>
        <w:t>Post</w:t>
      </w:r>
      <w:r w:rsidRPr="009B664E">
        <w:rPr>
          <w:rFonts w:ascii="MarkOT" w:hAnsi="MarkOT" w:cs="Arial"/>
          <w:b/>
          <w:i/>
        </w:rPr>
        <w:t xml:space="preserve"> 201</w:t>
      </w:r>
      <w:r>
        <w:rPr>
          <w:rFonts w:ascii="MarkOT" w:hAnsi="MarkOT" w:cs="Arial"/>
          <w:b/>
          <w:i/>
        </w:rPr>
        <w:t>4</w:t>
      </w:r>
      <w:r w:rsidRPr="009B664E">
        <w:rPr>
          <w:rFonts w:ascii="MarkOT" w:hAnsi="MarkOT" w:cs="Arial"/>
          <w:b/>
          <w:i/>
        </w:rPr>
        <w:t>’</w:t>
      </w:r>
      <w:r>
        <w:rPr>
          <w:rFonts w:ascii="MarkOT" w:hAnsi="MarkOT" w:cs="Arial"/>
        </w:rPr>
        <w:t xml:space="preserve"> which reflects the discussion in paragraph 2.</w:t>
      </w:r>
      <w:r w:rsidR="00A12971">
        <w:rPr>
          <w:rFonts w:ascii="MarkOT" w:hAnsi="MarkOT" w:cs="Arial"/>
        </w:rPr>
        <w:t>5</w:t>
      </w:r>
      <w:r>
        <w:rPr>
          <w:rFonts w:ascii="MarkOT" w:hAnsi="MarkOT" w:cs="Arial"/>
        </w:rPr>
        <w:t>.</w:t>
      </w:r>
    </w:p>
    <w:p w:rsidR="00590CFA" w:rsidRPr="00590CFA" w:rsidRDefault="00590CFA" w:rsidP="00590CFA">
      <w:pPr>
        <w:pStyle w:val="ListParagraph"/>
        <w:rPr>
          <w:rFonts w:ascii="MarkOT" w:hAnsi="MarkOT" w:cs="Arial"/>
        </w:rPr>
      </w:pPr>
    </w:p>
    <w:p w:rsidR="00590CFA" w:rsidRPr="00590CFA" w:rsidRDefault="00590CFA" w:rsidP="00590CFA">
      <w:pPr>
        <w:jc w:val="both"/>
        <w:rPr>
          <w:b/>
        </w:rPr>
      </w:pPr>
      <w:r w:rsidRPr="00590CFA">
        <w:rPr>
          <w:b/>
        </w:rPr>
        <w:t>Table 1: Implementation rates for fiscal year 2014</w:t>
      </w:r>
    </w:p>
    <w:tbl>
      <w:tblPr>
        <w:tblStyle w:val="TableGrid11"/>
        <w:tblW w:w="8394" w:type="dxa"/>
        <w:tblLook w:val="00A0" w:firstRow="1" w:lastRow="0" w:firstColumn="1" w:lastColumn="0" w:noHBand="0" w:noVBand="0"/>
      </w:tblPr>
      <w:tblGrid>
        <w:gridCol w:w="1945"/>
        <w:gridCol w:w="1289"/>
        <w:gridCol w:w="1290"/>
        <w:gridCol w:w="1290"/>
        <w:gridCol w:w="1290"/>
        <w:gridCol w:w="1290"/>
      </w:tblGrid>
      <w:tr w:rsidR="00590CFA" w:rsidRPr="00590CFA" w:rsidTr="001D7855">
        <w:trPr>
          <w:trHeight w:val="403"/>
        </w:trPr>
        <w:tc>
          <w:tcPr>
            <w:tcW w:w="1790" w:type="dxa"/>
          </w:tcPr>
          <w:p w:rsidR="00590CFA" w:rsidRPr="00590CFA" w:rsidRDefault="00590CFA" w:rsidP="00590CFA">
            <w:pPr>
              <w:spacing w:after="160" w:line="360" w:lineRule="auto"/>
              <w:jc w:val="both"/>
            </w:pPr>
          </w:p>
        </w:tc>
        <w:tc>
          <w:tcPr>
            <w:tcW w:w="1320" w:type="dxa"/>
            <w:vAlign w:val="center"/>
          </w:tcPr>
          <w:p w:rsidR="00590CFA" w:rsidRPr="00590CFA" w:rsidRDefault="00590CFA" w:rsidP="00590CFA">
            <w:pPr>
              <w:spacing w:after="160" w:line="360" w:lineRule="auto"/>
              <w:jc w:val="center"/>
            </w:pPr>
            <w:r w:rsidRPr="00590CFA">
              <w:t>DOM</w:t>
            </w:r>
          </w:p>
        </w:tc>
        <w:tc>
          <w:tcPr>
            <w:tcW w:w="1321" w:type="dxa"/>
            <w:vAlign w:val="center"/>
          </w:tcPr>
          <w:p w:rsidR="00590CFA" w:rsidRPr="00590CFA" w:rsidRDefault="00590CFA" w:rsidP="00590CFA">
            <w:pPr>
              <w:spacing w:after="160" w:line="360" w:lineRule="auto"/>
              <w:jc w:val="center"/>
            </w:pPr>
            <w:r w:rsidRPr="00590CFA">
              <w:t>GND</w:t>
            </w:r>
          </w:p>
        </w:tc>
        <w:tc>
          <w:tcPr>
            <w:tcW w:w="1321" w:type="dxa"/>
            <w:vAlign w:val="center"/>
          </w:tcPr>
          <w:p w:rsidR="00590CFA" w:rsidRPr="00590CFA" w:rsidRDefault="00590CFA" w:rsidP="00590CFA">
            <w:pPr>
              <w:spacing w:after="160" w:line="360" w:lineRule="auto"/>
              <w:jc w:val="center"/>
            </w:pPr>
            <w:r w:rsidRPr="00590CFA">
              <w:t>SKN</w:t>
            </w:r>
          </w:p>
        </w:tc>
        <w:tc>
          <w:tcPr>
            <w:tcW w:w="1321" w:type="dxa"/>
            <w:vAlign w:val="center"/>
          </w:tcPr>
          <w:p w:rsidR="00590CFA" w:rsidRPr="00590CFA" w:rsidRDefault="00590CFA" w:rsidP="00590CFA">
            <w:pPr>
              <w:spacing w:after="160" w:line="360" w:lineRule="auto"/>
              <w:jc w:val="center"/>
            </w:pPr>
            <w:r w:rsidRPr="00590CFA">
              <w:t>SLU</w:t>
            </w:r>
          </w:p>
        </w:tc>
        <w:tc>
          <w:tcPr>
            <w:tcW w:w="1321" w:type="dxa"/>
            <w:vAlign w:val="center"/>
          </w:tcPr>
          <w:p w:rsidR="00590CFA" w:rsidRPr="00590CFA" w:rsidRDefault="00590CFA" w:rsidP="00590CFA">
            <w:pPr>
              <w:spacing w:after="160" w:line="360" w:lineRule="auto"/>
              <w:jc w:val="center"/>
            </w:pPr>
            <w:r w:rsidRPr="00590CFA">
              <w:t>SVG</w:t>
            </w:r>
          </w:p>
        </w:tc>
      </w:tr>
      <w:tr w:rsidR="00590CFA" w:rsidRPr="00590CFA" w:rsidTr="001D7855">
        <w:trPr>
          <w:trHeight w:val="576"/>
        </w:trPr>
        <w:tc>
          <w:tcPr>
            <w:tcW w:w="1790" w:type="dxa"/>
          </w:tcPr>
          <w:p w:rsidR="00590CFA" w:rsidRPr="00590CFA" w:rsidRDefault="00590CFA" w:rsidP="00590CFA">
            <w:pPr>
              <w:numPr>
                <w:ilvl w:val="0"/>
                <w:numId w:val="3"/>
              </w:numPr>
              <w:spacing w:after="160" w:line="276" w:lineRule="auto"/>
              <w:contextualSpacing/>
              <w:jc w:val="both"/>
            </w:pPr>
            <w:r w:rsidRPr="00590CFA">
              <w:t>Total Funds collected</w:t>
            </w:r>
          </w:p>
        </w:tc>
        <w:tc>
          <w:tcPr>
            <w:tcW w:w="1320" w:type="dxa"/>
            <w:vAlign w:val="center"/>
          </w:tcPr>
          <w:p w:rsidR="00590CFA" w:rsidRPr="00590CFA" w:rsidRDefault="00590CFA" w:rsidP="00590CFA">
            <w:pPr>
              <w:spacing w:after="160" w:line="360" w:lineRule="auto"/>
              <w:jc w:val="center"/>
            </w:pPr>
            <w:r w:rsidRPr="00590CFA">
              <w:t>$4,109,000</w:t>
            </w:r>
          </w:p>
        </w:tc>
        <w:tc>
          <w:tcPr>
            <w:tcW w:w="1321" w:type="dxa"/>
            <w:vAlign w:val="center"/>
          </w:tcPr>
          <w:p w:rsidR="00590CFA" w:rsidRPr="00590CFA" w:rsidRDefault="00590CFA" w:rsidP="00590CFA">
            <w:pPr>
              <w:spacing w:after="160" w:line="360" w:lineRule="auto"/>
              <w:jc w:val="center"/>
            </w:pPr>
            <w:r w:rsidRPr="00590CFA">
              <w:t>$8,019,872</w:t>
            </w:r>
          </w:p>
        </w:tc>
        <w:tc>
          <w:tcPr>
            <w:tcW w:w="1321" w:type="dxa"/>
            <w:vAlign w:val="center"/>
          </w:tcPr>
          <w:p w:rsidR="00590CFA" w:rsidRPr="00590CFA" w:rsidRDefault="00590CFA" w:rsidP="00590CFA">
            <w:pPr>
              <w:spacing w:after="160" w:line="360" w:lineRule="auto"/>
              <w:jc w:val="center"/>
            </w:pPr>
            <w:r w:rsidRPr="00590CFA">
              <w:t>$4,199,577</w:t>
            </w:r>
          </w:p>
        </w:tc>
        <w:tc>
          <w:tcPr>
            <w:tcW w:w="1321" w:type="dxa"/>
            <w:vAlign w:val="center"/>
          </w:tcPr>
          <w:p w:rsidR="00590CFA" w:rsidRPr="00590CFA" w:rsidRDefault="00590CFA" w:rsidP="00590CFA">
            <w:pPr>
              <w:spacing w:after="160" w:line="360" w:lineRule="auto"/>
              <w:jc w:val="center"/>
            </w:pPr>
            <w:r w:rsidRPr="00590CFA">
              <w:t>$9,143,460</w:t>
            </w:r>
          </w:p>
        </w:tc>
        <w:tc>
          <w:tcPr>
            <w:tcW w:w="1321" w:type="dxa"/>
            <w:vAlign w:val="center"/>
          </w:tcPr>
          <w:p w:rsidR="00590CFA" w:rsidRPr="00590CFA" w:rsidRDefault="00590CFA" w:rsidP="00590CFA">
            <w:pPr>
              <w:spacing w:after="160" w:line="360" w:lineRule="auto"/>
              <w:jc w:val="center"/>
            </w:pPr>
            <w:r w:rsidRPr="00590CFA">
              <w:t>$7,620,502</w:t>
            </w:r>
          </w:p>
        </w:tc>
      </w:tr>
      <w:tr w:rsidR="00590CFA" w:rsidRPr="00590CFA" w:rsidTr="001D7855">
        <w:trPr>
          <w:trHeight w:val="576"/>
        </w:trPr>
        <w:tc>
          <w:tcPr>
            <w:tcW w:w="1790" w:type="dxa"/>
          </w:tcPr>
          <w:p w:rsidR="00590CFA" w:rsidRPr="00590CFA" w:rsidRDefault="00590CFA" w:rsidP="00590CFA">
            <w:pPr>
              <w:numPr>
                <w:ilvl w:val="0"/>
                <w:numId w:val="3"/>
              </w:numPr>
              <w:spacing w:after="160" w:line="276" w:lineRule="auto"/>
              <w:contextualSpacing/>
              <w:jc w:val="both"/>
            </w:pPr>
            <w:r w:rsidRPr="00590CFA">
              <w:t xml:space="preserve">Total Funds Disbursed on projects </w:t>
            </w:r>
          </w:p>
        </w:tc>
        <w:tc>
          <w:tcPr>
            <w:tcW w:w="1320" w:type="dxa"/>
            <w:vAlign w:val="center"/>
          </w:tcPr>
          <w:p w:rsidR="00590CFA" w:rsidRPr="00590CFA" w:rsidRDefault="00590CFA" w:rsidP="00590CFA">
            <w:pPr>
              <w:spacing w:after="160" w:line="276" w:lineRule="auto"/>
              <w:jc w:val="center"/>
            </w:pPr>
            <w:r w:rsidRPr="00590CFA">
              <w:t>$616,000</w:t>
            </w:r>
          </w:p>
        </w:tc>
        <w:tc>
          <w:tcPr>
            <w:tcW w:w="1321" w:type="dxa"/>
            <w:vAlign w:val="center"/>
          </w:tcPr>
          <w:p w:rsidR="00590CFA" w:rsidRPr="00590CFA" w:rsidRDefault="00590CFA" w:rsidP="00590CFA">
            <w:pPr>
              <w:spacing w:after="160" w:line="276" w:lineRule="auto"/>
              <w:jc w:val="center"/>
            </w:pPr>
            <w:r w:rsidRPr="00590CFA">
              <w:t>$41,300</w:t>
            </w:r>
          </w:p>
        </w:tc>
        <w:tc>
          <w:tcPr>
            <w:tcW w:w="1321" w:type="dxa"/>
            <w:vAlign w:val="center"/>
          </w:tcPr>
          <w:p w:rsidR="00590CFA" w:rsidRPr="00590CFA" w:rsidRDefault="00590CFA" w:rsidP="00590CFA">
            <w:pPr>
              <w:spacing w:after="160" w:line="276" w:lineRule="auto"/>
              <w:jc w:val="center"/>
            </w:pPr>
            <w:r w:rsidRPr="00590CFA">
              <w:t>$651,111</w:t>
            </w:r>
          </w:p>
        </w:tc>
        <w:tc>
          <w:tcPr>
            <w:tcW w:w="1321" w:type="dxa"/>
            <w:vAlign w:val="center"/>
          </w:tcPr>
          <w:p w:rsidR="00590CFA" w:rsidRPr="00590CFA" w:rsidRDefault="00590CFA" w:rsidP="00590CFA">
            <w:pPr>
              <w:spacing w:after="160" w:line="276" w:lineRule="auto"/>
              <w:jc w:val="center"/>
            </w:pPr>
            <w:r w:rsidRPr="00590CFA">
              <w:t>$385,432</w:t>
            </w:r>
          </w:p>
        </w:tc>
        <w:tc>
          <w:tcPr>
            <w:tcW w:w="1321" w:type="dxa"/>
            <w:vAlign w:val="center"/>
          </w:tcPr>
          <w:p w:rsidR="00590CFA" w:rsidRPr="00590CFA" w:rsidRDefault="00590CFA" w:rsidP="00590CFA">
            <w:pPr>
              <w:spacing w:after="160" w:line="276" w:lineRule="auto"/>
              <w:jc w:val="center"/>
            </w:pPr>
            <w:r w:rsidRPr="00590CFA">
              <w:t>$5,835,176</w:t>
            </w:r>
          </w:p>
        </w:tc>
      </w:tr>
      <w:tr w:rsidR="00590CFA" w:rsidRPr="00590CFA" w:rsidTr="001D7855">
        <w:trPr>
          <w:trHeight w:val="576"/>
        </w:trPr>
        <w:tc>
          <w:tcPr>
            <w:tcW w:w="1790" w:type="dxa"/>
          </w:tcPr>
          <w:p w:rsidR="00590CFA" w:rsidRPr="00590CFA" w:rsidRDefault="00590CFA" w:rsidP="00590CFA">
            <w:pPr>
              <w:spacing w:line="276" w:lineRule="auto"/>
              <w:ind w:left="360"/>
              <w:contextualSpacing/>
              <w:jc w:val="both"/>
              <w:rPr>
                <w:b/>
              </w:rPr>
            </w:pPr>
            <w:r w:rsidRPr="00590CFA">
              <w:rPr>
                <w:b/>
              </w:rPr>
              <w:t>% Funds Disbursed from 2008 to 2014</w:t>
            </w:r>
          </w:p>
        </w:tc>
        <w:tc>
          <w:tcPr>
            <w:tcW w:w="1320" w:type="dxa"/>
            <w:vAlign w:val="center"/>
          </w:tcPr>
          <w:p w:rsidR="00590CFA" w:rsidRPr="00590CFA" w:rsidRDefault="00590CFA" w:rsidP="00590CFA">
            <w:pPr>
              <w:spacing w:after="160" w:line="276" w:lineRule="auto"/>
              <w:jc w:val="center"/>
              <w:rPr>
                <w:b/>
              </w:rPr>
            </w:pPr>
            <w:r w:rsidRPr="00590CFA">
              <w:rPr>
                <w:b/>
              </w:rPr>
              <w:t>15%</w:t>
            </w:r>
          </w:p>
        </w:tc>
        <w:tc>
          <w:tcPr>
            <w:tcW w:w="1321" w:type="dxa"/>
            <w:vAlign w:val="center"/>
          </w:tcPr>
          <w:p w:rsidR="00590CFA" w:rsidRPr="00590CFA" w:rsidRDefault="00590CFA" w:rsidP="00590CFA">
            <w:pPr>
              <w:spacing w:after="160" w:line="276" w:lineRule="auto"/>
              <w:jc w:val="center"/>
              <w:rPr>
                <w:b/>
              </w:rPr>
            </w:pPr>
            <w:r w:rsidRPr="00590CFA">
              <w:rPr>
                <w:b/>
              </w:rPr>
              <w:t>&lt;1%</w:t>
            </w:r>
          </w:p>
        </w:tc>
        <w:tc>
          <w:tcPr>
            <w:tcW w:w="1321" w:type="dxa"/>
            <w:vAlign w:val="center"/>
          </w:tcPr>
          <w:p w:rsidR="00590CFA" w:rsidRPr="00590CFA" w:rsidRDefault="00590CFA" w:rsidP="00590CFA">
            <w:pPr>
              <w:spacing w:after="160" w:line="276" w:lineRule="auto"/>
              <w:jc w:val="center"/>
              <w:rPr>
                <w:b/>
              </w:rPr>
            </w:pPr>
            <w:r w:rsidRPr="00590CFA">
              <w:rPr>
                <w:b/>
              </w:rPr>
              <w:t>15.5%</w:t>
            </w:r>
          </w:p>
        </w:tc>
        <w:tc>
          <w:tcPr>
            <w:tcW w:w="1321" w:type="dxa"/>
            <w:vAlign w:val="center"/>
          </w:tcPr>
          <w:p w:rsidR="00590CFA" w:rsidRPr="00590CFA" w:rsidRDefault="00590CFA" w:rsidP="00590CFA">
            <w:pPr>
              <w:spacing w:after="160" w:line="276" w:lineRule="auto"/>
              <w:jc w:val="center"/>
              <w:rPr>
                <w:b/>
              </w:rPr>
            </w:pPr>
            <w:r w:rsidRPr="00590CFA">
              <w:rPr>
                <w:b/>
              </w:rPr>
              <w:t>4%</w:t>
            </w:r>
          </w:p>
        </w:tc>
        <w:tc>
          <w:tcPr>
            <w:tcW w:w="1321" w:type="dxa"/>
            <w:vAlign w:val="center"/>
          </w:tcPr>
          <w:p w:rsidR="00590CFA" w:rsidRPr="00590CFA" w:rsidRDefault="00590CFA" w:rsidP="00590CFA">
            <w:pPr>
              <w:spacing w:after="160" w:line="276" w:lineRule="auto"/>
              <w:jc w:val="center"/>
              <w:rPr>
                <w:b/>
              </w:rPr>
            </w:pPr>
            <w:r w:rsidRPr="00590CFA">
              <w:rPr>
                <w:b/>
              </w:rPr>
              <w:t>76%</w:t>
            </w:r>
          </w:p>
        </w:tc>
      </w:tr>
      <w:tr w:rsidR="00590CFA" w:rsidRPr="00590CFA" w:rsidTr="001D7855">
        <w:trPr>
          <w:trHeight w:val="576"/>
        </w:trPr>
        <w:tc>
          <w:tcPr>
            <w:tcW w:w="1790" w:type="dxa"/>
          </w:tcPr>
          <w:p w:rsidR="00590CFA" w:rsidRPr="00590CFA" w:rsidRDefault="00590CFA" w:rsidP="00590CFA">
            <w:pPr>
              <w:numPr>
                <w:ilvl w:val="0"/>
                <w:numId w:val="3"/>
              </w:numPr>
              <w:spacing w:after="160" w:line="276" w:lineRule="auto"/>
              <w:contextualSpacing/>
              <w:jc w:val="both"/>
            </w:pPr>
            <w:r w:rsidRPr="00590CFA">
              <w:t>Total Funds Committed on current or new projects</w:t>
            </w:r>
          </w:p>
        </w:tc>
        <w:tc>
          <w:tcPr>
            <w:tcW w:w="1320" w:type="dxa"/>
            <w:vAlign w:val="center"/>
          </w:tcPr>
          <w:p w:rsidR="00590CFA" w:rsidRPr="00590CFA" w:rsidRDefault="00590CFA" w:rsidP="00590CFA">
            <w:pPr>
              <w:spacing w:after="160" w:line="276" w:lineRule="auto"/>
              <w:jc w:val="center"/>
            </w:pPr>
            <w:r w:rsidRPr="00590CFA">
              <w:t>$1,700,000</w:t>
            </w:r>
          </w:p>
        </w:tc>
        <w:tc>
          <w:tcPr>
            <w:tcW w:w="1321" w:type="dxa"/>
            <w:vAlign w:val="center"/>
          </w:tcPr>
          <w:p w:rsidR="00590CFA" w:rsidRPr="00590CFA" w:rsidRDefault="00590CFA" w:rsidP="00590CFA">
            <w:pPr>
              <w:spacing w:after="160" w:line="276" w:lineRule="auto"/>
              <w:jc w:val="center"/>
            </w:pPr>
            <w:r w:rsidRPr="00590CFA">
              <w:t>$1,319,465</w:t>
            </w:r>
          </w:p>
        </w:tc>
        <w:tc>
          <w:tcPr>
            <w:tcW w:w="1321" w:type="dxa"/>
            <w:vAlign w:val="center"/>
          </w:tcPr>
          <w:p w:rsidR="00590CFA" w:rsidRPr="00590CFA" w:rsidRDefault="00590CFA" w:rsidP="00590CFA">
            <w:pPr>
              <w:spacing w:after="160" w:line="276" w:lineRule="auto"/>
              <w:jc w:val="center"/>
            </w:pPr>
            <w:r w:rsidRPr="00590CFA">
              <w:t>$1,585,677</w:t>
            </w:r>
          </w:p>
        </w:tc>
        <w:tc>
          <w:tcPr>
            <w:tcW w:w="1321" w:type="dxa"/>
            <w:vAlign w:val="center"/>
          </w:tcPr>
          <w:p w:rsidR="00590CFA" w:rsidRPr="00590CFA" w:rsidRDefault="00590CFA" w:rsidP="00590CFA">
            <w:pPr>
              <w:spacing w:after="160" w:line="276" w:lineRule="auto"/>
              <w:jc w:val="center"/>
            </w:pPr>
            <w:r w:rsidRPr="00590CFA">
              <w:t>$2,365,244</w:t>
            </w:r>
          </w:p>
        </w:tc>
        <w:tc>
          <w:tcPr>
            <w:tcW w:w="1321" w:type="dxa"/>
            <w:vAlign w:val="center"/>
          </w:tcPr>
          <w:p w:rsidR="00590CFA" w:rsidRPr="00590CFA" w:rsidRDefault="00590CFA" w:rsidP="00590CFA">
            <w:pPr>
              <w:spacing w:after="160" w:line="276" w:lineRule="auto"/>
              <w:jc w:val="center"/>
            </w:pPr>
            <w:r w:rsidRPr="00590CFA">
              <w:t>$1,780,710</w:t>
            </w:r>
          </w:p>
        </w:tc>
      </w:tr>
      <w:tr w:rsidR="00590CFA" w:rsidRPr="00590CFA" w:rsidTr="001D7855">
        <w:trPr>
          <w:trHeight w:val="576"/>
        </w:trPr>
        <w:tc>
          <w:tcPr>
            <w:tcW w:w="1790" w:type="dxa"/>
          </w:tcPr>
          <w:p w:rsidR="00590CFA" w:rsidRPr="00590CFA" w:rsidRDefault="00590CFA" w:rsidP="009B664E">
            <w:pPr>
              <w:spacing w:line="276" w:lineRule="auto"/>
              <w:ind w:left="360"/>
              <w:contextualSpacing/>
              <w:jc w:val="both"/>
              <w:rPr>
                <w:b/>
              </w:rPr>
            </w:pPr>
            <w:r w:rsidRPr="00590CFA">
              <w:rPr>
                <w:b/>
              </w:rPr>
              <w:t xml:space="preserve">% Funds Committed to New Projects </w:t>
            </w:r>
            <w:r w:rsidR="009B664E">
              <w:rPr>
                <w:b/>
              </w:rPr>
              <w:t>Post</w:t>
            </w:r>
            <w:r w:rsidRPr="00590CFA">
              <w:rPr>
                <w:b/>
              </w:rPr>
              <w:t xml:space="preserve"> 201</w:t>
            </w:r>
            <w:r w:rsidR="009B664E">
              <w:rPr>
                <w:b/>
              </w:rPr>
              <w:t>4</w:t>
            </w:r>
          </w:p>
        </w:tc>
        <w:tc>
          <w:tcPr>
            <w:tcW w:w="1320" w:type="dxa"/>
            <w:vAlign w:val="center"/>
          </w:tcPr>
          <w:p w:rsidR="00590CFA" w:rsidRPr="00590CFA" w:rsidRDefault="00590CFA" w:rsidP="00590CFA">
            <w:pPr>
              <w:spacing w:after="160" w:line="276" w:lineRule="auto"/>
              <w:jc w:val="center"/>
              <w:rPr>
                <w:b/>
              </w:rPr>
            </w:pPr>
            <w:r w:rsidRPr="00590CFA">
              <w:rPr>
                <w:b/>
              </w:rPr>
              <w:t>49%</w:t>
            </w:r>
          </w:p>
        </w:tc>
        <w:tc>
          <w:tcPr>
            <w:tcW w:w="1321" w:type="dxa"/>
            <w:vAlign w:val="center"/>
          </w:tcPr>
          <w:p w:rsidR="00590CFA" w:rsidRPr="00590CFA" w:rsidRDefault="00590CFA" w:rsidP="00590CFA">
            <w:pPr>
              <w:spacing w:after="160" w:line="276" w:lineRule="auto"/>
              <w:jc w:val="center"/>
              <w:rPr>
                <w:b/>
              </w:rPr>
            </w:pPr>
            <w:r w:rsidRPr="00590CFA">
              <w:rPr>
                <w:b/>
              </w:rPr>
              <w:t>16.5%</w:t>
            </w:r>
          </w:p>
        </w:tc>
        <w:tc>
          <w:tcPr>
            <w:tcW w:w="1321" w:type="dxa"/>
            <w:vAlign w:val="center"/>
          </w:tcPr>
          <w:p w:rsidR="00590CFA" w:rsidRPr="00590CFA" w:rsidRDefault="00590CFA" w:rsidP="00590CFA">
            <w:pPr>
              <w:spacing w:after="160" w:line="276" w:lineRule="auto"/>
              <w:jc w:val="center"/>
              <w:rPr>
                <w:b/>
              </w:rPr>
            </w:pPr>
            <w:r w:rsidRPr="00590CFA">
              <w:rPr>
                <w:b/>
              </w:rPr>
              <w:t>45%</w:t>
            </w:r>
          </w:p>
        </w:tc>
        <w:tc>
          <w:tcPr>
            <w:tcW w:w="1321" w:type="dxa"/>
            <w:vAlign w:val="center"/>
          </w:tcPr>
          <w:p w:rsidR="00590CFA" w:rsidRPr="00590CFA" w:rsidRDefault="00590CFA" w:rsidP="00590CFA">
            <w:pPr>
              <w:spacing w:after="160" w:line="276" w:lineRule="auto"/>
              <w:jc w:val="center"/>
              <w:rPr>
                <w:b/>
              </w:rPr>
            </w:pPr>
            <w:r w:rsidRPr="00590CFA">
              <w:rPr>
                <w:b/>
              </w:rPr>
              <w:t>27%</w:t>
            </w:r>
          </w:p>
        </w:tc>
        <w:tc>
          <w:tcPr>
            <w:tcW w:w="1321" w:type="dxa"/>
            <w:vAlign w:val="center"/>
          </w:tcPr>
          <w:p w:rsidR="00590CFA" w:rsidRPr="00590CFA" w:rsidRDefault="00590CFA" w:rsidP="00590CFA">
            <w:pPr>
              <w:spacing w:after="160" w:line="276" w:lineRule="auto"/>
              <w:jc w:val="center"/>
              <w:rPr>
                <w:b/>
              </w:rPr>
            </w:pPr>
            <w:r w:rsidRPr="00590CFA">
              <w:rPr>
                <w:b/>
              </w:rPr>
              <w:t>100%</w:t>
            </w:r>
          </w:p>
        </w:tc>
      </w:tr>
      <w:tr w:rsidR="00590CFA" w:rsidRPr="00590CFA" w:rsidTr="001D7855">
        <w:trPr>
          <w:trHeight w:val="576"/>
        </w:trPr>
        <w:tc>
          <w:tcPr>
            <w:tcW w:w="1790" w:type="dxa"/>
          </w:tcPr>
          <w:p w:rsidR="00590CFA" w:rsidRPr="00590CFA" w:rsidRDefault="00590CFA" w:rsidP="00590CFA">
            <w:pPr>
              <w:numPr>
                <w:ilvl w:val="0"/>
                <w:numId w:val="3"/>
              </w:numPr>
              <w:spacing w:after="160" w:line="276" w:lineRule="auto"/>
              <w:contextualSpacing/>
              <w:jc w:val="both"/>
            </w:pPr>
            <w:r w:rsidRPr="00590CFA">
              <w:t xml:space="preserve">Total Funds </w:t>
            </w:r>
            <w:r w:rsidRPr="00590CFA">
              <w:lastRenderedPageBreak/>
              <w:t>Available for future projects</w:t>
            </w:r>
          </w:p>
        </w:tc>
        <w:tc>
          <w:tcPr>
            <w:tcW w:w="1320" w:type="dxa"/>
            <w:vAlign w:val="center"/>
          </w:tcPr>
          <w:p w:rsidR="00590CFA" w:rsidRPr="00590CFA" w:rsidRDefault="00590CFA" w:rsidP="00590CFA">
            <w:pPr>
              <w:spacing w:after="160" w:line="276" w:lineRule="auto"/>
              <w:jc w:val="center"/>
            </w:pPr>
            <w:r w:rsidRPr="00590CFA">
              <w:lastRenderedPageBreak/>
              <w:t>$1,793,000</w:t>
            </w:r>
          </w:p>
        </w:tc>
        <w:tc>
          <w:tcPr>
            <w:tcW w:w="1321" w:type="dxa"/>
            <w:vAlign w:val="center"/>
          </w:tcPr>
          <w:p w:rsidR="00590CFA" w:rsidRPr="00590CFA" w:rsidRDefault="00590CFA" w:rsidP="00590CFA">
            <w:pPr>
              <w:spacing w:after="160" w:line="276" w:lineRule="auto"/>
              <w:jc w:val="center"/>
            </w:pPr>
            <w:r w:rsidRPr="00590CFA">
              <w:t>$6,659,107</w:t>
            </w:r>
          </w:p>
        </w:tc>
        <w:tc>
          <w:tcPr>
            <w:tcW w:w="1321" w:type="dxa"/>
            <w:vAlign w:val="center"/>
          </w:tcPr>
          <w:p w:rsidR="00590CFA" w:rsidRPr="00590CFA" w:rsidRDefault="00590CFA" w:rsidP="00590CFA">
            <w:pPr>
              <w:spacing w:after="160" w:line="276" w:lineRule="auto"/>
              <w:jc w:val="center"/>
            </w:pPr>
            <w:r w:rsidRPr="00590CFA">
              <w:t>$1,962,789</w:t>
            </w:r>
          </w:p>
        </w:tc>
        <w:tc>
          <w:tcPr>
            <w:tcW w:w="1321" w:type="dxa"/>
            <w:vAlign w:val="center"/>
          </w:tcPr>
          <w:p w:rsidR="00590CFA" w:rsidRPr="00590CFA" w:rsidRDefault="00590CFA" w:rsidP="00590CFA">
            <w:pPr>
              <w:spacing w:after="160" w:line="276" w:lineRule="auto"/>
              <w:jc w:val="center"/>
            </w:pPr>
            <w:r w:rsidRPr="00590CFA">
              <w:t>$6,392,784</w:t>
            </w:r>
          </w:p>
        </w:tc>
        <w:tc>
          <w:tcPr>
            <w:tcW w:w="1321" w:type="dxa"/>
            <w:vAlign w:val="center"/>
          </w:tcPr>
          <w:p w:rsidR="00590CFA" w:rsidRPr="00590CFA" w:rsidRDefault="00590CFA" w:rsidP="00590CFA">
            <w:pPr>
              <w:spacing w:after="160" w:line="276" w:lineRule="auto"/>
              <w:jc w:val="center"/>
            </w:pPr>
            <w:r w:rsidRPr="00590CFA">
              <w:t>$4,616</w:t>
            </w:r>
          </w:p>
        </w:tc>
      </w:tr>
      <w:tr w:rsidR="00590CFA" w:rsidRPr="00590CFA" w:rsidTr="001D7855">
        <w:trPr>
          <w:trHeight w:val="576"/>
        </w:trPr>
        <w:tc>
          <w:tcPr>
            <w:tcW w:w="1790" w:type="dxa"/>
          </w:tcPr>
          <w:p w:rsidR="00590CFA" w:rsidRPr="00590CFA" w:rsidRDefault="00590CFA" w:rsidP="00590CFA">
            <w:pPr>
              <w:spacing w:after="160" w:line="276" w:lineRule="auto"/>
              <w:jc w:val="both"/>
            </w:pPr>
            <w:r w:rsidRPr="00590CFA">
              <w:lastRenderedPageBreak/>
              <w:t xml:space="preserve">Implementation Rate </w:t>
            </w:r>
          </w:p>
        </w:tc>
        <w:tc>
          <w:tcPr>
            <w:tcW w:w="1320" w:type="dxa"/>
            <w:vAlign w:val="center"/>
          </w:tcPr>
          <w:p w:rsidR="00590CFA" w:rsidRPr="00590CFA" w:rsidRDefault="00590CFA" w:rsidP="00590CFA">
            <w:pPr>
              <w:spacing w:after="160" w:line="276" w:lineRule="auto"/>
              <w:jc w:val="center"/>
            </w:pPr>
            <w:r w:rsidRPr="00590CFA">
              <w:t>56%</w:t>
            </w:r>
          </w:p>
        </w:tc>
        <w:tc>
          <w:tcPr>
            <w:tcW w:w="1321" w:type="dxa"/>
            <w:vAlign w:val="center"/>
          </w:tcPr>
          <w:p w:rsidR="00590CFA" w:rsidRPr="00590CFA" w:rsidRDefault="00590CFA" w:rsidP="00590CFA">
            <w:pPr>
              <w:spacing w:after="160" w:line="276" w:lineRule="auto"/>
              <w:jc w:val="center"/>
            </w:pPr>
            <w:r w:rsidRPr="00590CFA">
              <w:t>17%</w:t>
            </w:r>
          </w:p>
        </w:tc>
        <w:tc>
          <w:tcPr>
            <w:tcW w:w="1321" w:type="dxa"/>
            <w:vAlign w:val="center"/>
          </w:tcPr>
          <w:p w:rsidR="00590CFA" w:rsidRPr="00590CFA" w:rsidRDefault="00590CFA" w:rsidP="00590CFA">
            <w:pPr>
              <w:spacing w:after="160" w:line="276" w:lineRule="auto"/>
              <w:jc w:val="center"/>
            </w:pPr>
            <w:r w:rsidRPr="00590CFA">
              <w:t>53%</w:t>
            </w:r>
          </w:p>
        </w:tc>
        <w:tc>
          <w:tcPr>
            <w:tcW w:w="1321" w:type="dxa"/>
            <w:vAlign w:val="center"/>
          </w:tcPr>
          <w:p w:rsidR="00590CFA" w:rsidRPr="00590CFA" w:rsidRDefault="00590CFA" w:rsidP="00590CFA">
            <w:pPr>
              <w:spacing w:after="160" w:line="276" w:lineRule="auto"/>
              <w:jc w:val="center"/>
            </w:pPr>
            <w:r w:rsidRPr="00590CFA">
              <w:t>30%</w:t>
            </w:r>
          </w:p>
        </w:tc>
        <w:tc>
          <w:tcPr>
            <w:tcW w:w="1321" w:type="dxa"/>
            <w:vAlign w:val="center"/>
          </w:tcPr>
          <w:p w:rsidR="00590CFA" w:rsidRPr="00590CFA" w:rsidRDefault="00590CFA" w:rsidP="00590CFA">
            <w:pPr>
              <w:spacing w:after="160" w:line="276" w:lineRule="auto"/>
              <w:jc w:val="center"/>
            </w:pPr>
            <w:r w:rsidRPr="00590CFA">
              <w:t>100%</w:t>
            </w:r>
          </w:p>
        </w:tc>
      </w:tr>
    </w:tbl>
    <w:p w:rsidR="00590CFA" w:rsidRPr="00590CFA" w:rsidRDefault="00590CFA" w:rsidP="00590CFA">
      <w:pPr>
        <w:spacing w:after="200" w:line="360" w:lineRule="auto"/>
        <w:jc w:val="both"/>
      </w:pPr>
      <w:r w:rsidRPr="00590CFA">
        <w:t>Source: ECTEL/NTRCs</w:t>
      </w:r>
    </w:p>
    <w:p w:rsidR="00590CFA" w:rsidRDefault="00590CFA" w:rsidP="00590CFA">
      <w:pPr>
        <w:pStyle w:val="ListParagraph"/>
        <w:spacing w:line="360" w:lineRule="auto"/>
        <w:ind w:left="792"/>
        <w:jc w:val="both"/>
        <w:rPr>
          <w:rFonts w:ascii="MarkOT" w:hAnsi="MarkOT" w:cs="Arial"/>
        </w:rPr>
      </w:pPr>
    </w:p>
    <w:p w:rsidR="00590CFA" w:rsidRPr="002274E6" w:rsidRDefault="002274E6" w:rsidP="00590CFA">
      <w:pPr>
        <w:pStyle w:val="ListParagraph"/>
        <w:spacing w:line="360" w:lineRule="auto"/>
        <w:ind w:left="792"/>
        <w:jc w:val="both"/>
        <w:rPr>
          <w:rFonts w:ascii="MarkOT" w:hAnsi="MarkOT" w:cs="Arial"/>
          <w:b/>
        </w:rPr>
      </w:pPr>
      <w:r>
        <w:rPr>
          <w:rFonts w:ascii="MarkOT" w:hAnsi="MarkOT" w:cs="Arial"/>
          <w:b/>
        </w:rPr>
        <w:t xml:space="preserve">All </w:t>
      </w:r>
      <w:r w:rsidRPr="002274E6">
        <w:rPr>
          <w:rFonts w:ascii="MarkOT" w:hAnsi="MarkOT" w:cs="Arial"/>
          <w:b/>
        </w:rPr>
        <w:t>Capital Funding is Limited</w:t>
      </w:r>
    </w:p>
    <w:p w:rsidR="00182111" w:rsidRPr="00182111" w:rsidRDefault="00182111" w:rsidP="00182111">
      <w:pPr>
        <w:pStyle w:val="ListParagraph"/>
        <w:rPr>
          <w:rFonts w:ascii="MarkOT" w:hAnsi="MarkOT" w:cs="Arial"/>
        </w:rPr>
      </w:pPr>
    </w:p>
    <w:p w:rsidR="00CC1128" w:rsidRDefault="00764BAD" w:rsidP="00764BAD">
      <w:pPr>
        <w:pStyle w:val="ListParagraph"/>
        <w:numPr>
          <w:ilvl w:val="1"/>
          <w:numId w:val="1"/>
        </w:numPr>
        <w:spacing w:line="360" w:lineRule="auto"/>
        <w:jc w:val="both"/>
        <w:rPr>
          <w:rFonts w:ascii="MarkOT" w:hAnsi="MarkOT" w:cs="Arial"/>
        </w:rPr>
      </w:pPr>
      <w:r>
        <w:rPr>
          <w:rFonts w:ascii="MarkOT" w:hAnsi="MarkOT" w:cs="Arial"/>
        </w:rPr>
        <w:t>At paragraph</w:t>
      </w:r>
      <w:r w:rsidRPr="00764BAD">
        <w:rPr>
          <w:rFonts w:ascii="MarkOT" w:hAnsi="MarkOT" w:cs="Arial"/>
        </w:rPr>
        <w:t xml:space="preserve"> 6.4, ECTEL </w:t>
      </w:r>
      <w:r>
        <w:rPr>
          <w:rFonts w:ascii="MarkOT" w:hAnsi="MarkOT" w:cs="Arial"/>
        </w:rPr>
        <w:t xml:space="preserve">floats the idea </w:t>
      </w:r>
      <w:r w:rsidRPr="00764BAD">
        <w:rPr>
          <w:rFonts w:ascii="MarkOT" w:hAnsi="MarkOT" w:cs="Arial"/>
        </w:rPr>
        <w:t xml:space="preserve">that the proposed increase in </w:t>
      </w:r>
      <w:r>
        <w:rPr>
          <w:rFonts w:ascii="MarkOT" w:hAnsi="MarkOT" w:cs="Arial"/>
        </w:rPr>
        <w:t xml:space="preserve">the Universal Service Fund Contribution </w:t>
      </w:r>
      <w:r w:rsidRPr="00764BAD">
        <w:rPr>
          <w:rFonts w:ascii="MarkOT" w:hAnsi="MarkOT" w:cs="Arial"/>
        </w:rPr>
        <w:t xml:space="preserve">levy would reward those USF that make effective use of the fund. </w:t>
      </w:r>
      <w:r w:rsidR="00CC1128" w:rsidRPr="00764BAD">
        <w:rPr>
          <w:rFonts w:ascii="MarkOT" w:hAnsi="MarkOT" w:cs="Arial"/>
        </w:rPr>
        <w:t>This should not be the case.</w:t>
      </w:r>
    </w:p>
    <w:p w:rsidR="00CC1128" w:rsidRDefault="00CC1128" w:rsidP="00CC1128">
      <w:pPr>
        <w:pStyle w:val="ListParagraph"/>
        <w:spacing w:line="360" w:lineRule="auto"/>
        <w:ind w:left="792"/>
        <w:jc w:val="both"/>
        <w:rPr>
          <w:rFonts w:ascii="MarkOT" w:hAnsi="MarkOT" w:cs="Arial"/>
        </w:rPr>
      </w:pPr>
    </w:p>
    <w:p w:rsidR="00CC1128" w:rsidRDefault="00CC1128" w:rsidP="00764BAD">
      <w:pPr>
        <w:pStyle w:val="ListParagraph"/>
        <w:numPr>
          <w:ilvl w:val="1"/>
          <w:numId w:val="1"/>
        </w:numPr>
        <w:spacing w:line="360" w:lineRule="auto"/>
        <w:jc w:val="both"/>
        <w:rPr>
          <w:rFonts w:ascii="MarkOT" w:hAnsi="MarkOT" w:cs="Arial"/>
        </w:rPr>
      </w:pPr>
      <w:r>
        <w:rPr>
          <w:rFonts w:ascii="MarkOT" w:hAnsi="MarkOT" w:cs="Arial"/>
        </w:rPr>
        <w:t>Firstly, funding of projects from the USF is not a competition. Each NTRC receives a</w:t>
      </w:r>
      <w:r w:rsidR="002274E6">
        <w:rPr>
          <w:rFonts w:ascii="MarkOT" w:hAnsi="MarkOT" w:cs="Arial"/>
        </w:rPr>
        <w:t xml:space="preserve"> predictable </w:t>
      </w:r>
      <w:r>
        <w:rPr>
          <w:rFonts w:ascii="MarkOT" w:hAnsi="MarkOT" w:cs="Arial"/>
        </w:rPr>
        <w:t>envelope of funding totaling 1% of the Annual Gross Revenue of operators</w:t>
      </w:r>
      <w:r w:rsidR="002274E6">
        <w:rPr>
          <w:rFonts w:ascii="MarkOT" w:hAnsi="MarkOT" w:cs="Arial"/>
        </w:rPr>
        <w:t xml:space="preserve"> in its country</w:t>
      </w:r>
      <w:r>
        <w:rPr>
          <w:rFonts w:ascii="MarkOT" w:hAnsi="MarkOT" w:cs="Arial"/>
        </w:rPr>
        <w:t>. Each NTRC is expected to support any number of projects that can be accommodated by the funding.</w:t>
      </w:r>
      <w:r w:rsidR="002274E6">
        <w:rPr>
          <w:rFonts w:ascii="MarkOT" w:hAnsi="MarkOT" w:cs="Arial"/>
        </w:rPr>
        <w:t xml:space="preserve"> The reward for effectively using the funding available is not more money but the achievement of the stated objectives for Universal Service.</w:t>
      </w:r>
    </w:p>
    <w:p w:rsidR="00CC1128" w:rsidRPr="00CC1128" w:rsidRDefault="00CC1128" w:rsidP="00CC1128">
      <w:pPr>
        <w:pStyle w:val="ListParagraph"/>
        <w:rPr>
          <w:rFonts w:ascii="MarkOT" w:hAnsi="MarkOT" w:cs="Arial"/>
        </w:rPr>
      </w:pPr>
    </w:p>
    <w:p w:rsidR="00CC1128" w:rsidRDefault="00764BAD" w:rsidP="002274E6">
      <w:pPr>
        <w:pStyle w:val="ListParagraph"/>
        <w:numPr>
          <w:ilvl w:val="1"/>
          <w:numId w:val="1"/>
        </w:numPr>
        <w:spacing w:line="360" w:lineRule="auto"/>
        <w:jc w:val="both"/>
        <w:rPr>
          <w:rFonts w:ascii="MarkOT" w:hAnsi="MarkOT" w:cs="Arial"/>
        </w:rPr>
      </w:pPr>
      <w:r w:rsidRPr="002274E6">
        <w:rPr>
          <w:rFonts w:ascii="MarkOT" w:hAnsi="MarkOT" w:cs="Arial"/>
        </w:rPr>
        <w:t xml:space="preserve">Funding is limited </w:t>
      </w:r>
      <w:r w:rsidR="002274E6">
        <w:rPr>
          <w:rFonts w:ascii="MarkOT" w:hAnsi="MarkOT" w:cs="Arial"/>
        </w:rPr>
        <w:t xml:space="preserve">for the NTRCs </w:t>
      </w:r>
      <w:r w:rsidRPr="002274E6">
        <w:rPr>
          <w:rFonts w:ascii="MarkOT" w:hAnsi="MarkOT" w:cs="Arial"/>
        </w:rPr>
        <w:t>as it is with operators. There is no unlimited purse. Projects must match funding available not funding to match projects</w:t>
      </w:r>
      <w:r w:rsidR="00940FB6">
        <w:rPr>
          <w:rFonts w:ascii="MarkOT" w:hAnsi="MarkOT" w:cs="Arial"/>
        </w:rPr>
        <w:t>,</w:t>
      </w:r>
      <w:r w:rsidR="008371E8">
        <w:rPr>
          <w:rFonts w:ascii="MarkOT" w:hAnsi="MarkOT" w:cs="Arial"/>
        </w:rPr>
        <w:t xml:space="preserve"> which are potentially unlimited</w:t>
      </w:r>
      <w:r w:rsidRPr="002274E6">
        <w:rPr>
          <w:rFonts w:ascii="MarkOT" w:hAnsi="MarkOT" w:cs="Arial"/>
        </w:rPr>
        <w:t xml:space="preserve">. </w:t>
      </w:r>
      <w:r w:rsidR="002274E6" w:rsidRPr="002274E6">
        <w:rPr>
          <w:rFonts w:ascii="MarkOT" w:hAnsi="MarkOT" w:cs="Arial"/>
        </w:rPr>
        <w:t xml:space="preserve">Following the logic of ECTEL’s proposal </w:t>
      </w:r>
      <w:r w:rsidRPr="002274E6">
        <w:rPr>
          <w:rFonts w:ascii="MarkOT" w:hAnsi="MarkOT" w:cs="Arial"/>
        </w:rPr>
        <w:t xml:space="preserve">could mean that USF levy could be any </w:t>
      </w:r>
      <w:r w:rsidR="002274E6" w:rsidRPr="002274E6">
        <w:rPr>
          <w:rFonts w:ascii="MarkOT" w:hAnsi="MarkOT" w:cs="Arial"/>
        </w:rPr>
        <w:t xml:space="preserve">percentage </w:t>
      </w:r>
      <w:r w:rsidRPr="002274E6">
        <w:rPr>
          <w:rFonts w:ascii="MarkOT" w:hAnsi="MarkOT" w:cs="Arial"/>
        </w:rPr>
        <w:t>so long as projects can be</w:t>
      </w:r>
      <w:r w:rsidR="00CC1128" w:rsidRPr="002274E6">
        <w:rPr>
          <w:rFonts w:ascii="MarkOT" w:hAnsi="MarkOT" w:cs="Arial"/>
        </w:rPr>
        <w:t xml:space="preserve"> found to gobble up the funding. </w:t>
      </w:r>
      <w:r w:rsidR="002274E6" w:rsidRPr="002274E6">
        <w:rPr>
          <w:rFonts w:ascii="MarkOT" w:hAnsi="MarkOT" w:cs="Arial"/>
        </w:rPr>
        <w:t xml:space="preserve"> Indeed this is exactly what ECTEL is doing </w:t>
      </w:r>
      <w:r w:rsidRPr="002274E6">
        <w:rPr>
          <w:rFonts w:ascii="MarkOT" w:hAnsi="MarkOT" w:cs="Arial"/>
        </w:rPr>
        <w:t>when it proposes</w:t>
      </w:r>
      <w:r w:rsidR="002274E6" w:rsidRPr="002274E6">
        <w:rPr>
          <w:rFonts w:ascii="MarkOT" w:hAnsi="MarkOT" w:cs="Arial"/>
        </w:rPr>
        <w:t xml:space="preserve"> increasing the USF contribution to include, inter alia,</w:t>
      </w:r>
      <w:r w:rsidR="002274E6">
        <w:rPr>
          <w:rFonts w:ascii="MarkOT" w:hAnsi="MarkOT" w:cs="Arial"/>
        </w:rPr>
        <w:t xml:space="preserve"> market surveys, consultancies</w:t>
      </w:r>
      <w:r w:rsidRPr="002274E6">
        <w:rPr>
          <w:rFonts w:ascii="MarkOT" w:hAnsi="MarkOT" w:cs="Arial"/>
        </w:rPr>
        <w:t>, studies, grant funding</w:t>
      </w:r>
      <w:r w:rsidR="002274E6" w:rsidRPr="002274E6">
        <w:rPr>
          <w:rFonts w:ascii="MarkOT" w:hAnsi="MarkOT" w:cs="Arial"/>
        </w:rPr>
        <w:t xml:space="preserve"> and</w:t>
      </w:r>
      <w:r w:rsidRPr="002274E6">
        <w:rPr>
          <w:rFonts w:ascii="MarkOT" w:hAnsi="MarkOT" w:cs="Arial"/>
        </w:rPr>
        <w:t xml:space="preserve"> increase in admin</w:t>
      </w:r>
      <w:r w:rsidR="002274E6" w:rsidRPr="002274E6">
        <w:rPr>
          <w:rFonts w:ascii="MarkOT" w:hAnsi="MarkOT" w:cs="Arial"/>
        </w:rPr>
        <w:t>istration fees.</w:t>
      </w:r>
      <w:r w:rsidRPr="002274E6">
        <w:rPr>
          <w:rFonts w:ascii="MarkOT" w:hAnsi="MarkOT" w:cs="Arial"/>
        </w:rPr>
        <w:t xml:space="preserve"> </w:t>
      </w:r>
    </w:p>
    <w:p w:rsidR="002274E6" w:rsidRPr="002274E6" w:rsidRDefault="002274E6" w:rsidP="002274E6">
      <w:pPr>
        <w:pStyle w:val="ListParagraph"/>
        <w:rPr>
          <w:rFonts w:ascii="MarkOT" w:hAnsi="MarkOT" w:cs="Arial"/>
        </w:rPr>
      </w:pPr>
    </w:p>
    <w:p w:rsidR="002274E6" w:rsidRDefault="0067220B" w:rsidP="002274E6">
      <w:pPr>
        <w:pStyle w:val="ListParagraph"/>
        <w:numPr>
          <w:ilvl w:val="1"/>
          <w:numId w:val="1"/>
        </w:numPr>
        <w:spacing w:line="360" w:lineRule="auto"/>
        <w:jc w:val="both"/>
        <w:rPr>
          <w:rFonts w:ascii="MarkOT" w:hAnsi="MarkOT" w:cs="Arial"/>
        </w:rPr>
      </w:pPr>
      <w:r>
        <w:rPr>
          <w:rFonts w:ascii="MarkOT" w:hAnsi="MarkOT" w:cs="Arial"/>
        </w:rPr>
        <w:t>From the Universal Service Fund Annual Report 2014 and the Universal Service Operating Plan 2015 published by the NTRC St. Vincent, CANTO notes that the NTRC, St. Vincent</w:t>
      </w:r>
      <w:r w:rsidR="00A12971">
        <w:rPr>
          <w:rFonts w:ascii="MarkOT" w:hAnsi="MarkOT" w:cs="Arial"/>
        </w:rPr>
        <w:t xml:space="preserve"> </w:t>
      </w:r>
      <w:r>
        <w:rPr>
          <w:rFonts w:ascii="MarkOT" w:hAnsi="MarkOT" w:cs="Arial"/>
        </w:rPr>
        <w:t>ha</w:t>
      </w:r>
      <w:r w:rsidR="00940FB6">
        <w:rPr>
          <w:rFonts w:ascii="MarkOT" w:hAnsi="MarkOT" w:cs="Arial"/>
        </w:rPr>
        <w:t>s</w:t>
      </w:r>
      <w:r>
        <w:rPr>
          <w:rFonts w:ascii="MarkOT" w:hAnsi="MarkOT" w:cs="Arial"/>
        </w:rPr>
        <w:t xml:space="preserve"> seven (7) ongoing projects</w:t>
      </w:r>
      <w:r w:rsidR="00940FB6">
        <w:rPr>
          <w:rFonts w:ascii="MarkOT" w:hAnsi="MarkOT" w:cs="Arial"/>
        </w:rPr>
        <w:t>, from</w:t>
      </w:r>
      <w:r>
        <w:rPr>
          <w:rFonts w:ascii="MarkOT" w:hAnsi="MarkOT" w:cs="Arial"/>
        </w:rPr>
        <w:t xml:space="preserve"> 2014 and there </w:t>
      </w:r>
      <w:r w:rsidR="00FA30B6">
        <w:rPr>
          <w:rFonts w:ascii="MarkOT" w:hAnsi="MarkOT" w:cs="Arial"/>
        </w:rPr>
        <w:t>were</w:t>
      </w:r>
      <w:r>
        <w:rPr>
          <w:rFonts w:ascii="MarkOT" w:hAnsi="MarkOT" w:cs="Arial"/>
        </w:rPr>
        <w:t xml:space="preserve"> nine (9) outstanding projects from 2014 that were carried into 2015. Further in 2014, the NTRC St. Vincent said it decided not to sign any new con</w:t>
      </w:r>
      <w:r w:rsidR="00FA30B6">
        <w:rPr>
          <w:rFonts w:ascii="MarkOT" w:hAnsi="MarkOT" w:cs="Arial"/>
        </w:rPr>
        <w:t>tracts for additional projects so that it could ensure that projects previously undertaken could be commissioned. The NTRC St. Vincent also observed that less contributions to the USF were being received.</w:t>
      </w:r>
    </w:p>
    <w:p w:rsidR="00FA30B6" w:rsidRPr="00FA30B6" w:rsidRDefault="00FA30B6" w:rsidP="00FA30B6">
      <w:pPr>
        <w:pStyle w:val="ListParagraph"/>
        <w:rPr>
          <w:rFonts w:ascii="MarkOT" w:hAnsi="MarkOT" w:cs="Arial"/>
        </w:rPr>
      </w:pPr>
    </w:p>
    <w:p w:rsidR="00FA30B6" w:rsidRDefault="007F1231" w:rsidP="00DD7354">
      <w:pPr>
        <w:pStyle w:val="ListParagraph"/>
        <w:numPr>
          <w:ilvl w:val="1"/>
          <w:numId w:val="1"/>
        </w:numPr>
        <w:spacing w:line="360" w:lineRule="auto"/>
        <w:jc w:val="both"/>
        <w:rPr>
          <w:rFonts w:ascii="MarkOT" w:hAnsi="MarkOT" w:cs="Arial"/>
        </w:rPr>
      </w:pPr>
      <w:r>
        <w:rPr>
          <w:rFonts w:ascii="MarkOT" w:hAnsi="MarkOT" w:cs="Arial"/>
        </w:rPr>
        <w:t>It is good that the NTRC St. Vincent is focused on its objective of achieving Universal Service. However, it does</w:t>
      </w:r>
      <w:r w:rsidR="00FA30B6">
        <w:rPr>
          <w:rFonts w:ascii="MarkOT" w:hAnsi="MarkOT" w:cs="Arial"/>
        </w:rPr>
        <w:t xml:space="preserve"> appear that the NTRC St. Vincent has more projects than it has the resources or funding to accommodate</w:t>
      </w:r>
      <w:r>
        <w:rPr>
          <w:rFonts w:ascii="MarkOT" w:hAnsi="MarkOT" w:cs="Arial"/>
        </w:rPr>
        <w:t xml:space="preserve">. </w:t>
      </w:r>
      <w:r w:rsidR="00FA30B6">
        <w:rPr>
          <w:rFonts w:ascii="MarkOT" w:hAnsi="MarkOT" w:cs="Arial"/>
        </w:rPr>
        <w:t xml:space="preserve">Being over-extended and </w:t>
      </w:r>
      <w:r>
        <w:rPr>
          <w:rFonts w:ascii="MarkOT" w:hAnsi="MarkOT" w:cs="Arial"/>
        </w:rPr>
        <w:t>over-budgeted is not good governance and is certainly not a premise for proposing an increase in the contribution</w:t>
      </w:r>
      <w:r w:rsidR="008371E8">
        <w:rPr>
          <w:rFonts w:ascii="MarkOT" w:hAnsi="MarkOT" w:cs="Arial"/>
        </w:rPr>
        <w:t xml:space="preserve"> by</w:t>
      </w:r>
      <w:r>
        <w:rPr>
          <w:rFonts w:ascii="MarkOT" w:hAnsi="MarkOT" w:cs="Arial"/>
        </w:rPr>
        <w:t xml:space="preserve"> operators from 1% to 2%.</w:t>
      </w:r>
    </w:p>
    <w:p w:rsidR="004B2882" w:rsidRPr="004B2882" w:rsidRDefault="004B2882" w:rsidP="004B2882">
      <w:pPr>
        <w:pStyle w:val="ListParagraph"/>
        <w:rPr>
          <w:rFonts w:ascii="MarkOT" w:hAnsi="MarkOT" w:cs="Arial"/>
        </w:rPr>
      </w:pPr>
    </w:p>
    <w:p w:rsidR="004B2882" w:rsidRPr="004B2882" w:rsidRDefault="00EB2A47" w:rsidP="004B2882">
      <w:pPr>
        <w:pStyle w:val="ListParagraph"/>
        <w:spacing w:line="360" w:lineRule="auto"/>
        <w:ind w:left="792"/>
        <w:jc w:val="both"/>
        <w:rPr>
          <w:rFonts w:ascii="MarkOT" w:hAnsi="MarkOT" w:cs="Arial"/>
          <w:b/>
        </w:rPr>
      </w:pPr>
      <w:r>
        <w:rPr>
          <w:rFonts w:ascii="MarkOT" w:hAnsi="MarkOT" w:cs="Arial"/>
          <w:b/>
        </w:rPr>
        <w:t>OTTs Erode U</w:t>
      </w:r>
      <w:r w:rsidR="004B2882" w:rsidRPr="004B2882">
        <w:rPr>
          <w:rFonts w:ascii="MarkOT" w:hAnsi="MarkOT" w:cs="Arial"/>
          <w:b/>
        </w:rPr>
        <w:t xml:space="preserve">SF Funding </w:t>
      </w:r>
    </w:p>
    <w:p w:rsidR="007F1231" w:rsidRPr="007F1231" w:rsidRDefault="007F1231" w:rsidP="007F1231">
      <w:pPr>
        <w:pStyle w:val="ListParagraph"/>
        <w:rPr>
          <w:rFonts w:ascii="MarkOT" w:hAnsi="MarkOT" w:cs="Arial"/>
        </w:rPr>
      </w:pPr>
    </w:p>
    <w:p w:rsidR="007F1231" w:rsidRDefault="007F1231" w:rsidP="002274E6">
      <w:pPr>
        <w:pStyle w:val="ListParagraph"/>
        <w:numPr>
          <w:ilvl w:val="1"/>
          <w:numId w:val="1"/>
        </w:numPr>
        <w:spacing w:line="360" w:lineRule="auto"/>
        <w:jc w:val="both"/>
        <w:rPr>
          <w:rFonts w:ascii="MarkOT" w:hAnsi="MarkOT" w:cs="Arial"/>
        </w:rPr>
      </w:pPr>
      <w:r>
        <w:rPr>
          <w:rFonts w:ascii="MarkOT" w:hAnsi="MarkOT" w:cs="Arial"/>
        </w:rPr>
        <w:t>For several years, CANTO’</w:t>
      </w:r>
      <w:r w:rsidR="00405C78">
        <w:rPr>
          <w:rFonts w:ascii="MarkOT" w:hAnsi="MarkOT" w:cs="Arial"/>
        </w:rPr>
        <w:t>s members have identified that</w:t>
      </w:r>
      <w:r w:rsidR="004B2882">
        <w:rPr>
          <w:rFonts w:ascii="MarkOT" w:hAnsi="MarkOT" w:cs="Arial"/>
        </w:rPr>
        <w:t xml:space="preserve"> Over-the-Top (</w:t>
      </w:r>
      <w:r w:rsidR="00405C78">
        <w:rPr>
          <w:rFonts w:ascii="MarkOT" w:hAnsi="MarkOT" w:cs="Arial"/>
        </w:rPr>
        <w:t>OTT</w:t>
      </w:r>
      <w:r w:rsidR="004B2882">
        <w:rPr>
          <w:rFonts w:ascii="MarkOT" w:hAnsi="MarkOT" w:cs="Arial"/>
        </w:rPr>
        <w:t xml:space="preserve">) providers </w:t>
      </w:r>
      <w:r w:rsidR="00405C78">
        <w:rPr>
          <w:rFonts w:ascii="MarkOT" w:hAnsi="MarkOT" w:cs="Arial"/>
        </w:rPr>
        <w:t>will whittle away at operators revenues and this will impact funding available for the USF. The NTRC St. Vincent has noticed a reduction in funds available and so should the other NTRCs.</w:t>
      </w:r>
    </w:p>
    <w:p w:rsidR="00405C78" w:rsidRPr="00405C78" w:rsidRDefault="00405C78" w:rsidP="00405C78">
      <w:pPr>
        <w:pStyle w:val="ListParagraph"/>
        <w:rPr>
          <w:rFonts w:ascii="MarkOT" w:hAnsi="MarkOT" w:cs="Arial"/>
        </w:rPr>
      </w:pPr>
    </w:p>
    <w:p w:rsidR="00405C78" w:rsidRDefault="004B2882" w:rsidP="002274E6">
      <w:pPr>
        <w:pStyle w:val="ListParagraph"/>
        <w:numPr>
          <w:ilvl w:val="1"/>
          <w:numId w:val="1"/>
        </w:numPr>
        <w:spacing w:line="360" w:lineRule="auto"/>
        <w:jc w:val="both"/>
        <w:rPr>
          <w:rFonts w:ascii="MarkOT" w:hAnsi="MarkOT" w:cs="Arial"/>
        </w:rPr>
      </w:pPr>
      <w:r>
        <w:rPr>
          <w:rFonts w:ascii="MarkOT" w:hAnsi="MarkOT" w:cs="Arial"/>
        </w:rPr>
        <w:t>ECTEL and the NTRCs have insisted on an interpretation of Net Neutrality which gives OTTs unfettered access to the network of providers in the ECTEL countries. These OTT providers are not licensed in the ECTEL countries, they pay no taxes, make no payments to the licensed operators in the ECTEL countries for the use of their network and make no contribution to USF. Yet they earn from customers in ECTEL countries.</w:t>
      </w:r>
    </w:p>
    <w:p w:rsidR="004B2882" w:rsidRPr="004B2882" w:rsidRDefault="004B2882" w:rsidP="004B2882">
      <w:pPr>
        <w:pStyle w:val="ListParagraph"/>
        <w:rPr>
          <w:rFonts w:ascii="MarkOT" w:hAnsi="MarkOT" w:cs="Arial"/>
        </w:rPr>
      </w:pPr>
    </w:p>
    <w:p w:rsidR="00303E12" w:rsidRDefault="004B2882" w:rsidP="00CA1086">
      <w:pPr>
        <w:pStyle w:val="ListParagraph"/>
        <w:numPr>
          <w:ilvl w:val="1"/>
          <w:numId w:val="1"/>
        </w:numPr>
        <w:spacing w:line="360" w:lineRule="auto"/>
        <w:jc w:val="both"/>
        <w:rPr>
          <w:rFonts w:ascii="MarkOT" w:hAnsi="MarkOT" w:cs="Arial"/>
        </w:rPr>
      </w:pPr>
      <w:r w:rsidRPr="00AD3F92">
        <w:rPr>
          <w:rFonts w:ascii="MarkOT" w:hAnsi="MarkOT" w:cs="Arial"/>
        </w:rPr>
        <w:t>Having known this for some time and having made it clear that it has no intention to do anything to affect the status quo with the OTTs, it would be unacceptable for ECTEL to seek to recoup reduction in USF from licensed operators</w:t>
      </w:r>
      <w:r w:rsidR="00531B46">
        <w:rPr>
          <w:rFonts w:ascii="MarkOT" w:hAnsi="MarkOT" w:cs="Arial"/>
        </w:rPr>
        <w:t xml:space="preserve"> through increased contribution or the addition of a reserve fund</w:t>
      </w:r>
      <w:r w:rsidRPr="00AD3F92">
        <w:rPr>
          <w:rFonts w:ascii="MarkOT" w:hAnsi="MarkOT" w:cs="Arial"/>
        </w:rPr>
        <w:t xml:space="preserve">. Accordingly CANTO’s expectations is that ECTEL </w:t>
      </w:r>
      <w:r w:rsidR="00A12971" w:rsidRPr="00A12971">
        <w:rPr>
          <w:rFonts w:ascii="MarkOT" w:hAnsi="MarkOT" w:cs="Arial"/>
        </w:rPr>
        <w:t xml:space="preserve"> </w:t>
      </w:r>
      <w:r w:rsidR="00A12971" w:rsidRPr="00AD3F92">
        <w:rPr>
          <w:rFonts w:ascii="MarkOT" w:hAnsi="MarkOT" w:cs="Arial"/>
        </w:rPr>
        <w:t>w</w:t>
      </w:r>
      <w:r w:rsidR="00A12971">
        <w:rPr>
          <w:rFonts w:ascii="MarkOT" w:hAnsi="MarkOT" w:cs="Arial"/>
        </w:rPr>
        <w:t xml:space="preserve">ill either accept that the existence of OTTs will result in dwindling funds for USF or </w:t>
      </w:r>
      <w:r w:rsidRPr="00AD3F92">
        <w:rPr>
          <w:rFonts w:ascii="MarkOT" w:hAnsi="MarkOT" w:cs="Arial"/>
        </w:rPr>
        <w:t>make up any shortfa</w:t>
      </w:r>
      <w:r w:rsidR="00940FB6">
        <w:rPr>
          <w:rFonts w:ascii="MarkOT" w:hAnsi="MarkOT" w:cs="Arial"/>
        </w:rPr>
        <w:t>ll in funding the USF from OTTs</w:t>
      </w:r>
      <w:r w:rsidR="00A12971">
        <w:rPr>
          <w:rFonts w:ascii="MarkOT" w:hAnsi="MarkOT" w:cs="Arial"/>
        </w:rPr>
        <w:t>.</w:t>
      </w:r>
      <w:r w:rsidR="00940FB6">
        <w:rPr>
          <w:rFonts w:ascii="MarkOT" w:hAnsi="MarkOT" w:cs="Arial"/>
        </w:rPr>
        <w:t>.</w:t>
      </w:r>
    </w:p>
    <w:p w:rsidR="00AD3F92" w:rsidRPr="00AD3F92" w:rsidRDefault="00AD3F92" w:rsidP="00AD3F92">
      <w:pPr>
        <w:pStyle w:val="ListParagraph"/>
        <w:rPr>
          <w:rFonts w:ascii="MarkOT" w:hAnsi="MarkOT" w:cs="Arial"/>
        </w:rPr>
      </w:pPr>
    </w:p>
    <w:p w:rsidR="00AD3F92" w:rsidRPr="00AD3F92" w:rsidRDefault="00AD3F92" w:rsidP="00AD3F92">
      <w:pPr>
        <w:pStyle w:val="ListParagraph"/>
        <w:spacing w:line="360" w:lineRule="auto"/>
        <w:ind w:left="792"/>
        <w:jc w:val="both"/>
        <w:rPr>
          <w:rFonts w:ascii="MarkOT" w:hAnsi="MarkOT" w:cs="Arial"/>
          <w:b/>
        </w:rPr>
      </w:pPr>
      <w:r w:rsidRPr="00AD3F92">
        <w:rPr>
          <w:rFonts w:ascii="MarkOT" w:hAnsi="MarkOT" w:cs="Arial"/>
          <w:b/>
        </w:rPr>
        <w:t xml:space="preserve">Transparency and Accountability </w:t>
      </w:r>
      <w:r w:rsidR="00940FB6">
        <w:rPr>
          <w:rFonts w:ascii="MarkOT" w:hAnsi="MarkOT" w:cs="Arial"/>
          <w:b/>
        </w:rPr>
        <w:t>Deficient</w:t>
      </w:r>
    </w:p>
    <w:p w:rsidR="00AD3F92" w:rsidRPr="00AD3F92" w:rsidRDefault="00AD3F92" w:rsidP="00AD3F92">
      <w:pPr>
        <w:pStyle w:val="ListParagraph"/>
        <w:rPr>
          <w:rFonts w:ascii="MarkOT" w:hAnsi="MarkOT" w:cs="Arial"/>
        </w:rPr>
      </w:pPr>
    </w:p>
    <w:p w:rsidR="00AD3F92" w:rsidRDefault="00AD3F92" w:rsidP="00CA1086">
      <w:pPr>
        <w:pStyle w:val="ListParagraph"/>
        <w:numPr>
          <w:ilvl w:val="1"/>
          <w:numId w:val="1"/>
        </w:numPr>
        <w:spacing w:line="360" w:lineRule="auto"/>
        <w:jc w:val="both"/>
        <w:rPr>
          <w:rFonts w:ascii="MarkOT" w:hAnsi="MarkOT" w:cs="Arial"/>
        </w:rPr>
      </w:pPr>
      <w:r>
        <w:rPr>
          <w:rFonts w:ascii="MarkOT" w:hAnsi="MarkOT" w:cs="Arial"/>
        </w:rPr>
        <w:t xml:space="preserve">Part IV of the Telecommunications (Universal Service Fund) Regulations require  the NTRCs </w:t>
      </w:r>
      <w:r w:rsidR="00940FB6">
        <w:rPr>
          <w:rFonts w:ascii="MarkOT" w:hAnsi="MarkOT" w:cs="Arial"/>
        </w:rPr>
        <w:t>to</w:t>
      </w:r>
      <w:r>
        <w:rPr>
          <w:rFonts w:ascii="MarkOT" w:hAnsi="MarkOT" w:cs="Arial"/>
        </w:rPr>
        <w:t xml:space="preserve"> prepare budgets for </w:t>
      </w:r>
      <w:r w:rsidR="00940FB6">
        <w:rPr>
          <w:rFonts w:ascii="MarkOT" w:hAnsi="MarkOT" w:cs="Arial"/>
        </w:rPr>
        <w:t>each</w:t>
      </w:r>
      <w:r>
        <w:rPr>
          <w:rFonts w:ascii="MarkOT" w:hAnsi="MarkOT" w:cs="Arial"/>
        </w:rPr>
        <w:t xml:space="preserve"> </w:t>
      </w:r>
      <w:r w:rsidR="00940FB6">
        <w:rPr>
          <w:rFonts w:ascii="MarkOT" w:hAnsi="MarkOT" w:cs="Arial"/>
        </w:rPr>
        <w:t>upcoming</w:t>
      </w:r>
      <w:r>
        <w:rPr>
          <w:rFonts w:ascii="MarkOT" w:hAnsi="MarkOT" w:cs="Arial"/>
        </w:rPr>
        <w:t xml:space="preserve"> financial year and </w:t>
      </w:r>
      <w:r w:rsidR="00940FB6">
        <w:rPr>
          <w:rFonts w:ascii="MarkOT" w:hAnsi="MarkOT" w:cs="Arial"/>
        </w:rPr>
        <w:t xml:space="preserve">to </w:t>
      </w:r>
      <w:r>
        <w:rPr>
          <w:rFonts w:ascii="MarkOT" w:hAnsi="MarkOT" w:cs="Arial"/>
        </w:rPr>
        <w:t>prepare an annual report which must include:</w:t>
      </w:r>
    </w:p>
    <w:p w:rsidR="00EE760B" w:rsidRDefault="00EE760B" w:rsidP="00EE760B">
      <w:pPr>
        <w:pStyle w:val="ListParagraph"/>
        <w:numPr>
          <w:ilvl w:val="2"/>
          <w:numId w:val="5"/>
        </w:numPr>
        <w:spacing w:line="360" w:lineRule="auto"/>
        <w:jc w:val="both"/>
        <w:rPr>
          <w:rFonts w:ascii="MarkOT" w:hAnsi="MarkOT" w:cs="Arial"/>
        </w:rPr>
      </w:pPr>
      <w:r>
        <w:rPr>
          <w:rFonts w:ascii="MarkOT" w:hAnsi="MarkOT" w:cs="Arial"/>
        </w:rPr>
        <w:t>Audited financial statements of the Fund</w:t>
      </w:r>
    </w:p>
    <w:p w:rsidR="00EE760B" w:rsidRDefault="00EE760B" w:rsidP="00EE760B">
      <w:pPr>
        <w:pStyle w:val="ListParagraph"/>
        <w:numPr>
          <w:ilvl w:val="2"/>
          <w:numId w:val="5"/>
        </w:numPr>
        <w:spacing w:line="360" w:lineRule="auto"/>
        <w:jc w:val="both"/>
        <w:rPr>
          <w:rFonts w:ascii="MarkOT" w:hAnsi="MarkOT" w:cs="Arial"/>
        </w:rPr>
      </w:pPr>
      <w:r>
        <w:rPr>
          <w:rFonts w:ascii="MarkOT" w:hAnsi="MarkOT" w:cs="Arial"/>
        </w:rPr>
        <w:t>Details of activities Supported By the Fund</w:t>
      </w:r>
    </w:p>
    <w:p w:rsidR="00EE760B" w:rsidRDefault="00EE760B" w:rsidP="00EE760B">
      <w:pPr>
        <w:pStyle w:val="ListParagraph"/>
        <w:numPr>
          <w:ilvl w:val="2"/>
          <w:numId w:val="5"/>
        </w:numPr>
        <w:spacing w:line="360" w:lineRule="auto"/>
        <w:jc w:val="both"/>
        <w:rPr>
          <w:rFonts w:ascii="MarkOT" w:hAnsi="MarkOT" w:cs="Arial"/>
        </w:rPr>
      </w:pPr>
      <w:r>
        <w:rPr>
          <w:rFonts w:ascii="MarkOT" w:hAnsi="MarkOT" w:cs="Arial"/>
        </w:rPr>
        <w:t>Details of awards of contract</w:t>
      </w:r>
    </w:p>
    <w:p w:rsidR="00EE760B" w:rsidRDefault="00EE760B" w:rsidP="00EE760B">
      <w:pPr>
        <w:pStyle w:val="ListParagraph"/>
        <w:spacing w:line="360" w:lineRule="auto"/>
        <w:ind w:left="1224"/>
        <w:jc w:val="both"/>
        <w:rPr>
          <w:rFonts w:ascii="MarkOT" w:hAnsi="MarkOT" w:cs="Arial"/>
        </w:rPr>
      </w:pPr>
    </w:p>
    <w:p w:rsidR="00EE760B" w:rsidRDefault="00EE760B" w:rsidP="00EE760B">
      <w:pPr>
        <w:pStyle w:val="ListParagraph"/>
        <w:numPr>
          <w:ilvl w:val="1"/>
          <w:numId w:val="1"/>
        </w:numPr>
        <w:spacing w:line="360" w:lineRule="auto"/>
        <w:jc w:val="both"/>
        <w:rPr>
          <w:rFonts w:ascii="MarkOT" w:hAnsi="MarkOT" w:cs="Arial"/>
        </w:rPr>
      </w:pPr>
      <w:r>
        <w:rPr>
          <w:rFonts w:ascii="MarkOT" w:hAnsi="MarkOT" w:cs="Arial"/>
        </w:rPr>
        <w:t xml:space="preserve">To the best of </w:t>
      </w:r>
      <w:r w:rsidR="00EB2A47">
        <w:rPr>
          <w:rFonts w:ascii="MarkOT" w:hAnsi="MarkOT" w:cs="Arial"/>
        </w:rPr>
        <w:t>CANTO’s</w:t>
      </w:r>
      <w:r>
        <w:rPr>
          <w:rFonts w:ascii="MarkOT" w:hAnsi="MarkOT" w:cs="Arial"/>
        </w:rPr>
        <w:t xml:space="preserve"> knowledge </w:t>
      </w:r>
      <w:r w:rsidR="00EB2A47">
        <w:rPr>
          <w:rFonts w:ascii="MarkOT" w:hAnsi="MarkOT" w:cs="Arial"/>
        </w:rPr>
        <w:t xml:space="preserve">only St. Vincent and St.Lucia publish any kind of budget </w:t>
      </w:r>
      <w:r w:rsidR="00266131">
        <w:rPr>
          <w:rFonts w:ascii="MarkOT" w:hAnsi="MarkOT" w:cs="Arial"/>
        </w:rPr>
        <w:t>for USF and NTRC St. Vincent, in particular</w:t>
      </w:r>
      <w:r w:rsidR="00940FB6">
        <w:rPr>
          <w:rFonts w:ascii="MarkOT" w:hAnsi="MarkOT" w:cs="Arial"/>
        </w:rPr>
        <w:t>,</w:t>
      </w:r>
      <w:r w:rsidR="00266131">
        <w:rPr>
          <w:rFonts w:ascii="MarkOT" w:hAnsi="MarkOT" w:cs="Arial"/>
        </w:rPr>
        <w:t xml:space="preserve"> has been diligent in providing details of activities supported by the Fund. However neither NTRC reports on the details of awards of contracts. While CANTO has not seen audited financials for 2014 and 2015 is perhaps not yet ready, review of the financials for earlier years demonstrate that the NTRCs have been providing audited financial statements of the Fund.</w:t>
      </w:r>
    </w:p>
    <w:p w:rsidR="00266131" w:rsidRDefault="00266131" w:rsidP="00266131">
      <w:pPr>
        <w:pStyle w:val="ListParagraph"/>
        <w:spacing w:line="360" w:lineRule="auto"/>
        <w:ind w:left="792"/>
        <w:jc w:val="both"/>
        <w:rPr>
          <w:rFonts w:ascii="MarkOT" w:hAnsi="MarkOT" w:cs="Arial"/>
        </w:rPr>
      </w:pPr>
    </w:p>
    <w:p w:rsidR="00266131" w:rsidRDefault="00266131" w:rsidP="00EE760B">
      <w:pPr>
        <w:pStyle w:val="ListParagraph"/>
        <w:numPr>
          <w:ilvl w:val="1"/>
          <w:numId w:val="1"/>
        </w:numPr>
        <w:spacing w:line="360" w:lineRule="auto"/>
        <w:jc w:val="both"/>
        <w:rPr>
          <w:rFonts w:ascii="MarkOT" w:hAnsi="MarkOT" w:cs="Arial"/>
        </w:rPr>
      </w:pPr>
      <w:r>
        <w:rPr>
          <w:rFonts w:ascii="MarkOT" w:hAnsi="MarkOT" w:cs="Arial"/>
        </w:rPr>
        <w:t xml:space="preserve">There remains then that all NTRCs must publish budgets for </w:t>
      </w:r>
      <w:r w:rsidR="00940FB6">
        <w:rPr>
          <w:rFonts w:ascii="MarkOT" w:hAnsi="MarkOT" w:cs="Arial"/>
        </w:rPr>
        <w:t>each upcoming</w:t>
      </w:r>
      <w:r>
        <w:rPr>
          <w:rFonts w:ascii="MarkOT" w:hAnsi="MarkOT" w:cs="Arial"/>
        </w:rPr>
        <w:t xml:space="preserve"> financial year and details of awards of contracts must be provided by all NTRCs.</w:t>
      </w:r>
    </w:p>
    <w:p w:rsidR="00531B46" w:rsidRPr="00531B46" w:rsidRDefault="00531B46" w:rsidP="00531B46">
      <w:pPr>
        <w:pStyle w:val="ListParagraph"/>
        <w:rPr>
          <w:rFonts w:ascii="MarkOT" w:hAnsi="MarkOT" w:cs="Arial"/>
        </w:rPr>
      </w:pPr>
    </w:p>
    <w:p w:rsidR="00531B46" w:rsidRPr="00531B46" w:rsidRDefault="00531B46" w:rsidP="00531B46">
      <w:pPr>
        <w:pStyle w:val="ListParagraph"/>
        <w:spacing w:line="360" w:lineRule="auto"/>
        <w:ind w:left="792"/>
        <w:jc w:val="both"/>
        <w:rPr>
          <w:rFonts w:ascii="MarkOT" w:hAnsi="MarkOT" w:cs="Arial"/>
          <w:b/>
        </w:rPr>
      </w:pPr>
      <w:r w:rsidRPr="00531B46">
        <w:rPr>
          <w:rFonts w:ascii="MarkOT" w:hAnsi="MarkOT" w:cs="Arial"/>
          <w:b/>
        </w:rPr>
        <w:t xml:space="preserve">Connectivity is </w:t>
      </w:r>
      <w:r w:rsidR="007C72D4">
        <w:rPr>
          <w:rFonts w:ascii="MarkOT" w:hAnsi="MarkOT" w:cs="Arial"/>
          <w:b/>
        </w:rPr>
        <w:t xml:space="preserve">Still </w:t>
      </w:r>
      <w:r w:rsidRPr="00531B46">
        <w:rPr>
          <w:rFonts w:ascii="MarkOT" w:hAnsi="MarkOT" w:cs="Arial"/>
          <w:b/>
        </w:rPr>
        <w:t>Key</w:t>
      </w:r>
    </w:p>
    <w:p w:rsidR="00531B46" w:rsidRPr="00531B46" w:rsidRDefault="00531B46" w:rsidP="00531B46">
      <w:pPr>
        <w:pStyle w:val="ListParagraph"/>
        <w:rPr>
          <w:rFonts w:ascii="MarkOT" w:hAnsi="MarkOT" w:cs="Arial"/>
        </w:rPr>
      </w:pPr>
    </w:p>
    <w:p w:rsidR="00FC654E" w:rsidRDefault="00531B46" w:rsidP="00EE760B">
      <w:pPr>
        <w:pStyle w:val="ListParagraph"/>
        <w:numPr>
          <w:ilvl w:val="1"/>
          <w:numId w:val="1"/>
        </w:numPr>
        <w:spacing w:line="360" w:lineRule="auto"/>
        <w:jc w:val="both"/>
        <w:rPr>
          <w:rFonts w:ascii="MarkOT" w:hAnsi="MarkOT" w:cs="Arial"/>
        </w:rPr>
      </w:pPr>
      <w:r>
        <w:rPr>
          <w:rFonts w:ascii="MarkOT" w:hAnsi="MarkOT" w:cs="Arial"/>
        </w:rPr>
        <w:t xml:space="preserve">ECTEL is proposing that the scope of universal service be expanded to include access devices, ancillary services and infrastructure </w:t>
      </w:r>
      <w:r w:rsidR="00FC654E">
        <w:rPr>
          <w:rFonts w:ascii="MarkOT" w:hAnsi="MarkOT" w:cs="Arial"/>
        </w:rPr>
        <w:t>equipment. CANTO recognizes that over time the definition of universal services will evolve. The danger in ECTEL’s proposal is that less people are connected to the network because of an outsized focus on ancillary services and infrastructure equipment. The whole purpose of the USF is to connect people to networks so that they can extract the benefit from being connected.</w:t>
      </w:r>
    </w:p>
    <w:p w:rsidR="007C72D4" w:rsidRDefault="007C72D4" w:rsidP="007C72D4">
      <w:pPr>
        <w:pStyle w:val="ListParagraph"/>
        <w:spacing w:line="360" w:lineRule="auto"/>
        <w:ind w:left="792"/>
        <w:jc w:val="both"/>
        <w:rPr>
          <w:rFonts w:ascii="MarkOT" w:hAnsi="MarkOT" w:cs="Arial"/>
        </w:rPr>
      </w:pPr>
    </w:p>
    <w:p w:rsidR="00531B46" w:rsidRPr="007C72D4" w:rsidRDefault="00FC654E" w:rsidP="00EE760B">
      <w:pPr>
        <w:pStyle w:val="ListParagraph"/>
        <w:numPr>
          <w:ilvl w:val="1"/>
          <w:numId w:val="1"/>
        </w:numPr>
        <w:spacing w:line="360" w:lineRule="auto"/>
        <w:jc w:val="both"/>
        <w:rPr>
          <w:rFonts w:ascii="MarkOT" w:hAnsi="MarkOT" w:cs="Arial"/>
        </w:rPr>
      </w:pPr>
      <w:r>
        <w:rPr>
          <w:rFonts w:ascii="MarkOT" w:hAnsi="MarkOT" w:cs="Arial"/>
        </w:rPr>
        <w:t>A November 2015 report out of Africom</w:t>
      </w:r>
      <w:r w:rsidR="00642C89">
        <w:rPr>
          <w:rFonts w:ascii="MarkOT" w:hAnsi="MarkOT" w:cs="Arial"/>
        </w:rPr>
        <w:t xml:space="preserve"> </w:t>
      </w:r>
      <w:r w:rsidR="007C72D4">
        <w:rPr>
          <w:rFonts w:ascii="MarkOT" w:hAnsi="MarkOT" w:cs="Arial"/>
        </w:rPr>
        <w:t>states:</w:t>
      </w:r>
      <w:r>
        <w:rPr>
          <w:rFonts w:ascii="MarkOT" w:hAnsi="MarkOT" w:cs="Arial"/>
        </w:rPr>
        <w:t xml:space="preserve"> </w:t>
      </w:r>
      <w:r w:rsidR="00642C89" w:rsidRPr="007C72D4">
        <w:rPr>
          <w:rStyle w:val="FootnoteReference"/>
          <w:rFonts w:ascii="MarkOT" w:hAnsi="MarkOT" w:cs="Arial"/>
          <w:i/>
        </w:rPr>
        <w:footnoteReference w:id="1"/>
      </w:r>
      <w:r w:rsidR="00642C89" w:rsidRPr="007C72D4">
        <w:rPr>
          <w:rFonts w:ascii="MarkOT" w:hAnsi="MarkOT" w:cs="Arial"/>
          <w:i/>
          <w:lang w:val="en-GB"/>
        </w:rPr>
        <w:t>“Ultimately, connectivity is the biggest enabler for startup innovation,” concluded Facebook’s Markelainen. “Once you can get connected, everything else can follow.”</w:t>
      </w:r>
      <w:r w:rsidR="007C72D4">
        <w:rPr>
          <w:rFonts w:ascii="MarkOT" w:hAnsi="MarkOT" w:cs="Arial"/>
          <w:i/>
          <w:lang w:val="en-GB"/>
        </w:rPr>
        <w:t xml:space="preserve"> </w:t>
      </w:r>
    </w:p>
    <w:p w:rsidR="007C72D4" w:rsidRPr="007C72D4" w:rsidRDefault="007C72D4" w:rsidP="007C72D4">
      <w:pPr>
        <w:pStyle w:val="ListParagraph"/>
        <w:rPr>
          <w:rFonts w:ascii="MarkOT" w:hAnsi="MarkOT" w:cs="Arial"/>
        </w:rPr>
      </w:pPr>
    </w:p>
    <w:p w:rsidR="007C72D4" w:rsidRDefault="007C72D4" w:rsidP="00EE760B">
      <w:pPr>
        <w:pStyle w:val="ListParagraph"/>
        <w:numPr>
          <w:ilvl w:val="1"/>
          <w:numId w:val="1"/>
        </w:numPr>
        <w:spacing w:line="360" w:lineRule="auto"/>
        <w:jc w:val="both"/>
        <w:rPr>
          <w:rFonts w:ascii="MarkOT" w:hAnsi="MarkOT" w:cs="Arial"/>
        </w:rPr>
      </w:pPr>
      <w:r>
        <w:rPr>
          <w:rFonts w:ascii="MarkOT" w:hAnsi="MarkOT" w:cs="Arial"/>
        </w:rPr>
        <w:t>Attached for the consideration of ECTEL is a paper written and circulated to governments in the region titled ‘</w:t>
      </w:r>
      <w:r w:rsidRPr="00C7495F">
        <w:rPr>
          <w:rFonts w:ascii="MarkOT" w:hAnsi="MarkOT" w:cs="Arial"/>
          <w:i/>
        </w:rPr>
        <w:t>Incentivising Investment in Broadband in the Caribbean</w:t>
      </w:r>
      <w:r>
        <w:rPr>
          <w:rFonts w:ascii="MarkOT" w:hAnsi="MarkOT" w:cs="Arial"/>
        </w:rPr>
        <w:t>’ which proposes a public / private partnership to advance the roll-out of broadband services in the region.</w:t>
      </w:r>
    </w:p>
    <w:p w:rsidR="00710A2B" w:rsidRDefault="00710A2B" w:rsidP="00DD7354">
      <w:pPr>
        <w:pStyle w:val="ListParagraph"/>
        <w:rPr>
          <w:rFonts w:ascii="MarkOT" w:hAnsi="MarkOT" w:cs="Arial"/>
        </w:rPr>
      </w:pPr>
    </w:p>
    <w:p w:rsidR="00DD7354" w:rsidRDefault="00DD7354" w:rsidP="00DD7354">
      <w:pPr>
        <w:pStyle w:val="ListParagraph"/>
        <w:rPr>
          <w:rFonts w:ascii="MarkOT" w:hAnsi="MarkOT" w:cs="Arial"/>
        </w:rPr>
      </w:pPr>
    </w:p>
    <w:p w:rsidR="00C67316" w:rsidRDefault="00C67316" w:rsidP="00DD7354">
      <w:pPr>
        <w:pStyle w:val="ListParagraph"/>
        <w:rPr>
          <w:rFonts w:ascii="MarkOT" w:hAnsi="MarkOT" w:cs="Arial"/>
        </w:rPr>
      </w:pPr>
    </w:p>
    <w:p w:rsidR="00C67316" w:rsidRDefault="00C67316" w:rsidP="00DD7354">
      <w:pPr>
        <w:pStyle w:val="ListParagraph"/>
        <w:rPr>
          <w:rFonts w:ascii="MarkOT" w:hAnsi="MarkOT" w:cs="Arial"/>
        </w:rPr>
      </w:pPr>
    </w:p>
    <w:p w:rsidR="00C67316" w:rsidRPr="00DD7354" w:rsidRDefault="00C67316" w:rsidP="00DD7354">
      <w:pPr>
        <w:pStyle w:val="ListParagraph"/>
        <w:rPr>
          <w:rFonts w:ascii="MarkOT" w:hAnsi="MarkOT" w:cs="Arial"/>
        </w:rPr>
      </w:pPr>
      <w:bookmarkStart w:id="0" w:name="_GoBack"/>
      <w:bookmarkEnd w:id="0"/>
    </w:p>
    <w:p w:rsidR="00710A2B" w:rsidRDefault="00710A2B" w:rsidP="00710A2B">
      <w:pPr>
        <w:pStyle w:val="ListParagraph"/>
        <w:numPr>
          <w:ilvl w:val="0"/>
          <w:numId w:val="1"/>
        </w:numPr>
        <w:spacing w:line="360" w:lineRule="auto"/>
        <w:jc w:val="both"/>
        <w:rPr>
          <w:rFonts w:ascii="MarkOT" w:hAnsi="MarkOT" w:cs="Arial"/>
          <w:b/>
        </w:rPr>
      </w:pPr>
      <w:r w:rsidRPr="007B1485">
        <w:rPr>
          <w:rFonts w:ascii="MarkOT" w:hAnsi="MarkOT" w:cs="Arial"/>
          <w:b/>
        </w:rPr>
        <w:lastRenderedPageBreak/>
        <w:t xml:space="preserve">CONCLUSION </w:t>
      </w:r>
    </w:p>
    <w:p w:rsidR="00DD7354" w:rsidRDefault="00DD7354" w:rsidP="00DD7354">
      <w:pPr>
        <w:pStyle w:val="ListParagraph"/>
        <w:spacing w:line="360" w:lineRule="auto"/>
        <w:ind w:left="360"/>
        <w:jc w:val="both"/>
        <w:rPr>
          <w:rFonts w:ascii="MarkOT" w:hAnsi="MarkOT" w:cs="Arial"/>
          <w:b/>
        </w:rPr>
      </w:pPr>
    </w:p>
    <w:p w:rsidR="00710A2B" w:rsidRDefault="00710A2B" w:rsidP="00710A2B">
      <w:pPr>
        <w:pStyle w:val="ListParagraph"/>
        <w:numPr>
          <w:ilvl w:val="1"/>
          <w:numId w:val="1"/>
        </w:numPr>
        <w:spacing w:line="360" w:lineRule="auto"/>
        <w:jc w:val="both"/>
        <w:rPr>
          <w:rFonts w:ascii="MarkOT" w:hAnsi="MarkOT" w:cs="Arial"/>
        </w:rPr>
      </w:pPr>
      <w:r>
        <w:rPr>
          <w:rFonts w:ascii="MarkOT" w:hAnsi="MarkOT" w:cs="Arial"/>
        </w:rPr>
        <w:t>CANTO recognizes that over time the definition of universal service will evolve. Even within this evolution, the focus of universal service and funding must always be to connect the unconnected to the network and this objective should never become secondary to incidental ancillary services and infrastructure equipment.</w:t>
      </w:r>
    </w:p>
    <w:p w:rsidR="00710A2B" w:rsidRDefault="00710A2B" w:rsidP="00DD7354">
      <w:pPr>
        <w:pStyle w:val="ListParagraph"/>
        <w:spacing w:line="360" w:lineRule="auto"/>
        <w:ind w:left="792"/>
        <w:jc w:val="both"/>
        <w:rPr>
          <w:rFonts w:ascii="MarkOT" w:hAnsi="MarkOT" w:cs="Arial"/>
        </w:rPr>
      </w:pPr>
    </w:p>
    <w:p w:rsidR="00710A2B" w:rsidRDefault="00710A2B" w:rsidP="00710A2B">
      <w:pPr>
        <w:pStyle w:val="ListParagraph"/>
        <w:numPr>
          <w:ilvl w:val="1"/>
          <w:numId w:val="1"/>
        </w:numPr>
        <w:spacing w:line="360" w:lineRule="auto"/>
        <w:jc w:val="both"/>
        <w:rPr>
          <w:rFonts w:ascii="MarkOT" w:hAnsi="MarkOT" w:cs="Arial"/>
        </w:rPr>
      </w:pPr>
      <w:r>
        <w:rPr>
          <w:rFonts w:ascii="MarkOT" w:hAnsi="MarkOT" w:cs="Arial"/>
        </w:rPr>
        <w:t>There is no unlimited envelope. There will always be capital and budgetary constraints for providers and for the NTRCs. The proposal to increase the contribution of operators to the USF from 1% to 2% is in effect seeking to create an unlimited envelope. This is unrealistic. However ECTEL and the NTRCs plan to go forward with the USF it must operate in the context of 1% contribution of annual gross revenues.</w:t>
      </w:r>
    </w:p>
    <w:p w:rsidR="00710A2B" w:rsidRPr="00DD7354" w:rsidRDefault="00710A2B" w:rsidP="00DD7354">
      <w:pPr>
        <w:pStyle w:val="ListParagraph"/>
        <w:rPr>
          <w:rFonts w:ascii="MarkOT" w:hAnsi="MarkOT" w:cs="Arial"/>
        </w:rPr>
      </w:pPr>
    </w:p>
    <w:p w:rsidR="00710A2B" w:rsidRDefault="00710A2B" w:rsidP="00710A2B">
      <w:pPr>
        <w:pStyle w:val="ListParagraph"/>
        <w:numPr>
          <w:ilvl w:val="1"/>
          <w:numId w:val="1"/>
        </w:numPr>
        <w:spacing w:line="360" w:lineRule="auto"/>
        <w:jc w:val="both"/>
        <w:rPr>
          <w:rFonts w:ascii="MarkOT" w:hAnsi="MarkOT" w:cs="Arial"/>
        </w:rPr>
      </w:pPr>
      <w:r>
        <w:rPr>
          <w:rFonts w:ascii="MarkOT" w:hAnsi="MarkOT" w:cs="Arial"/>
        </w:rPr>
        <w:t xml:space="preserve">The track record of the NTRCs, save NTRC ST. Vincent, in disbursing funds for universal service projects is dismal. With the exception noted, none has over the past seven (7) years disbursed as much as 20% of funds available. Clearly there is no need for additional funding. And while NTRC St. Vincent is to be commended for its good work in advancing universal service, it seems over-extended and over-budgeted which is the other extreme. Operators provide a reliable, predictable source of funding so all NTRC must budget for projects in accordance with the 1% funding that they know will be available. </w:t>
      </w:r>
    </w:p>
    <w:p w:rsidR="00710A2B" w:rsidRPr="00DD7354" w:rsidRDefault="00710A2B" w:rsidP="00DD7354">
      <w:pPr>
        <w:pStyle w:val="ListParagraph"/>
        <w:rPr>
          <w:rFonts w:ascii="MarkOT" w:hAnsi="MarkOT" w:cs="Arial"/>
        </w:rPr>
      </w:pPr>
    </w:p>
    <w:p w:rsidR="00710A2B" w:rsidRPr="00077D69" w:rsidRDefault="00710A2B" w:rsidP="00710A2B">
      <w:pPr>
        <w:pStyle w:val="ListParagraph"/>
        <w:numPr>
          <w:ilvl w:val="1"/>
          <w:numId w:val="1"/>
        </w:numPr>
        <w:spacing w:line="360" w:lineRule="auto"/>
        <w:jc w:val="both"/>
        <w:rPr>
          <w:rFonts w:ascii="MarkOT" w:hAnsi="MarkOT" w:cs="Arial"/>
        </w:rPr>
      </w:pPr>
      <w:r>
        <w:rPr>
          <w:rFonts w:ascii="MarkOT" w:hAnsi="MarkOT" w:cs="Arial"/>
        </w:rPr>
        <w:t>CANTO suggest that ECTEL engages with stakeholders such as CANTO to develop strategies which ensure that the existing USF is managed to maximize the benefits of the contribution that Licen</w:t>
      </w:r>
      <w:r w:rsidR="00DD7354">
        <w:rPr>
          <w:rFonts w:ascii="MarkOT" w:hAnsi="MarkOT" w:cs="Arial"/>
        </w:rPr>
        <w:t>s</w:t>
      </w:r>
      <w:r>
        <w:rPr>
          <w:rFonts w:ascii="MarkOT" w:hAnsi="MarkOT" w:cs="Arial"/>
        </w:rPr>
        <w:t>ed operators already make.</w:t>
      </w:r>
    </w:p>
    <w:p w:rsidR="00710A2B" w:rsidRDefault="00710A2B" w:rsidP="00DD7354">
      <w:pPr>
        <w:pStyle w:val="ListParagraph"/>
        <w:spacing w:line="360" w:lineRule="auto"/>
        <w:ind w:left="792"/>
        <w:jc w:val="both"/>
        <w:rPr>
          <w:rFonts w:ascii="MarkOT" w:hAnsi="MarkOT" w:cs="Arial"/>
          <w:b/>
        </w:rPr>
      </w:pPr>
    </w:p>
    <w:p w:rsidR="00710A2B" w:rsidRDefault="00710A2B" w:rsidP="00DD7354">
      <w:pPr>
        <w:pStyle w:val="ListParagraph"/>
        <w:spacing w:line="360" w:lineRule="auto"/>
        <w:ind w:left="360"/>
        <w:jc w:val="both"/>
        <w:rPr>
          <w:rFonts w:ascii="MarkOT" w:hAnsi="MarkOT" w:cs="Arial"/>
          <w:b/>
        </w:rPr>
      </w:pPr>
    </w:p>
    <w:p w:rsidR="00710A2B" w:rsidRPr="007B1485" w:rsidRDefault="00710A2B" w:rsidP="00DD7354">
      <w:pPr>
        <w:pStyle w:val="ListParagraph"/>
        <w:spacing w:line="360" w:lineRule="auto"/>
        <w:ind w:left="360"/>
        <w:jc w:val="both"/>
        <w:rPr>
          <w:rFonts w:ascii="MarkOT" w:hAnsi="MarkOT" w:cs="Arial"/>
          <w:b/>
        </w:rPr>
      </w:pPr>
    </w:p>
    <w:p w:rsidR="00710A2B" w:rsidRDefault="00710A2B" w:rsidP="00DD7354">
      <w:pPr>
        <w:pStyle w:val="ListParagraph"/>
        <w:spacing w:line="360" w:lineRule="auto"/>
        <w:ind w:left="360"/>
        <w:jc w:val="both"/>
        <w:rPr>
          <w:rFonts w:ascii="MarkOT" w:hAnsi="MarkOT" w:cs="Arial"/>
        </w:rPr>
      </w:pPr>
    </w:p>
    <w:p w:rsidR="00710A2B" w:rsidRPr="00DD7354" w:rsidRDefault="00710A2B" w:rsidP="00DD7354">
      <w:pPr>
        <w:pStyle w:val="ListParagraph"/>
        <w:rPr>
          <w:rFonts w:ascii="MarkOT" w:hAnsi="MarkOT" w:cs="Arial"/>
        </w:rPr>
      </w:pPr>
    </w:p>
    <w:p w:rsidR="00710A2B" w:rsidRPr="00DD7354" w:rsidRDefault="00710A2B" w:rsidP="00DD7354">
      <w:pPr>
        <w:spacing w:line="360" w:lineRule="auto"/>
        <w:jc w:val="both"/>
        <w:rPr>
          <w:rFonts w:ascii="MarkOT" w:hAnsi="MarkOT" w:cs="Arial"/>
        </w:rPr>
      </w:pPr>
    </w:p>
    <w:p w:rsidR="007B1485" w:rsidRPr="007B1485" w:rsidRDefault="007B1485" w:rsidP="007B1485">
      <w:pPr>
        <w:pStyle w:val="ListParagraph"/>
        <w:rPr>
          <w:rFonts w:ascii="MarkOT" w:hAnsi="MarkOT" w:cs="Arial"/>
        </w:rPr>
      </w:pPr>
    </w:p>
    <w:p w:rsidR="00710A2B" w:rsidRDefault="00710A2B" w:rsidP="007B1485">
      <w:pPr>
        <w:pStyle w:val="ListParagraph"/>
        <w:spacing w:line="360" w:lineRule="auto"/>
        <w:ind w:left="792"/>
        <w:jc w:val="both"/>
        <w:rPr>
          <w:rFonts w:ascii="MarkOT" w:hAnsi="MarkOT" w:cs="Arial"/>
          <w:b/>
        </w:rPr>
      </w:pPr>
    </w:p>
    <w:p w:rsidR="007B1485" w:rsidRPr="007B1485" w:rsidRDefault="007B1485" w:rsidP="007B1485">
      <w:pPr>
        <w:pStyle w:val="ListParagraph"/>
        <w:rPr>
          <w:rFonts w:ascii="MarkOT" w:hAnsi="MarkOT" w:cs="Arial"/>
        </w:rPr>
      </w:pPr>
    </w:p>
    <w:p w:rsidR="007B1485" w:rsidRDefault="007B1485" w:rsidP="007B1485">
      <w:pPr>
        <w:pStyle w:val="ListParagraph"/>
        <w:spacing w:line="360" w:lineRule="auto"/>
        <w:ind w:left="792"/>
        <w:jc w:val="both"/>
        <w:rPr>
          <w:rFonts w:ascii="MarkOT" w:hAnsi="MarkOT" w:cs="Arial"/>
        </w:rPr>
      </w:pPr>
    </w:p>
    <w:p w:rsidR="00356653" w:rsidRPr="00356653" w:rsidRDefault="00356653" w:rsidP="00622D64">
      <w:pPr>
        <w:spacing w:line="360" w:lineRule="auto"/>
        <w:jc w:val="both"/>
        <w:rPr>
          <w:rFonts w:ascii="MarkOT" w:hAnsi="MarkOT" w:cs="Arial"/>
          <w:b/>
        </w:rPr>
      </w:pPr>
      <w:r w:rsidRPr="00356653">
        <w:rPr>
          <w:rFonts w:ascii="MarkOT" w:hAnsi="MarkOT" w:cs="Arial"/>
          <w:b/>
        </w:rPr>
        <w:lastRenderedPageBreak/>
        <w:t>APPENDIX 1</w:t>
      </w:r>
    </w:p>
    <w:p w:rsidR="00356653" w:rsidRPr="00356653" w:rsidRDefault="00356653" w:rsidP="00622D64">
      <w:pPr>
        <w:spacing w:line="360" w:lineRule="auto"/>
        <w:jc w:val="both"/>
        <w:rPr>
          <w:rFonts w:ascii="MarkOT" w:hAnsi="MarkOT" w:cs="Arial"/>
          <w:b/>
          <w:u w:val="single"/>
        </w:rPr>
      </w:pPr>
      <w:r w:rsidRPr="00356653">
        <w:rPr>
          <w:rFonts w:ascii="MarkOT" w:hAnsi="MarkOT" w:cs="Arial"/>
          <w:b/>
          <w:u w:val="single"/>
        </w:rPr>
        <w:t xml:space="preserve">Incentivising Investment in Broadband in the Caribbean </w:t>
      </w:r>
    </w:p>
    <w:p w:rsidR="00356653" w:rsidRDefault="00356653" w:rsidP="00622D64">
      <w:pPr>
        <w:spacing w:line="360" w:lineRule="auto"/>
        <w:jc w:val="both"/>
        <w:rPr>
          <w:rFonts w:ascii="MarkOT" w:hAnsi="MarkOT" w:cs="Arial"/>
          <w:b/>
        </w:rPr>
      </w:pPr>
      <w:r>
        <w:rPr>
          <w:rFonts w:ascii="MarkOT" w:hAnsi="MarkOT" w:cs="Arial"/>
          <w:b/>
        </w:rPr>
        <w:t>(see attached)</w:t>
      </w:r>
    </w:p>
    <w:p w:rsidR="00356653" w:rsidRDefault="00356653" w:rsidP="00622D64">
      <w:pPr>
        <w:spacing w:line="360" w:lineRule="auto"/>
        <w:jc w:val="both"/>
        <w:rPr>
          <w:rFonts w:ascii="MarkOT" w:hAnsi="MarkOT" w:cs="Arial"/>
          <w:b/>
        </w:rPr>
      </w:pPr>
    </w:p>
    <w:p w:rsidR="00356653" w:rsidRDefault="00356653" w:rsidP="00622D64">
      <w:pPr>
        <w:spacing w:line="360" w:lineRule="auto"/>
        <w:jc w:val="both"/>
        <w:rPr>
          <w:rFonts w:ascii="MarkOT" w:hAnsi="MarkOT" w:cs="Arial"/>
          <w:b/>
        </w:rPr>
      </w:pPr>
    </w:p>
    <w:p w:rsidR="00356653" w:rsidRDefault="00356653" w:rsidP="00622D64">
      <w:pPr>
        <w:spacing w:line="360" w:lineRule="auto"/>
        <w:jc w:val="both"/>
        <w:rPr>
          <w:rFonts w:ascii="MarkOT" w:hAnsi="MarkOT" w:cs="Arial"/>
          <w:b/>
        </w:rPr>
      </w:pPr>
    </w:p>
    <w:p w:rsidR="00356653" w:rsidRDefault="00356653" w:rsidP="00622D64">
      <w:pPr>
        <w:spacing w:line="360" w:lineRule="auto"/>
        <w:jc w:val="both"/>
        <w:rPr>
          <w:rFonts w:ascii="MarkOT" w:hAnsi="MarkOT" w:cs="Arial"/>
          <w:b/>
        </w:rPr>
      </w:pPr>
    </w:p>
    <w:p w:rsidR="00356653" w:rsidRDefault="00356653" w:rsidP="00622D64">
      <w:pPr>
        <w:spacing w:line="360" w:lineRule="auto"/>
        <w:jc w:val="both"/>
        <w:rPr>
          <w:rFonts w:ascii="MarkOT" w:hAnsi="MarkOT" w:cs="Arial"/>
          <w:b/>
        </w:rPr>
      </w:pPr>
    </w:p>
    <w:p w:rsidR="00356653" w:rsidRPr="00B8370E" w:rsidRDefault="00356653" w:rsidP="00356653">
      <w:pPr>
        <w:spacing w:line="360" w:lineRule="auto"/>
        <w:jc w:val="center"/>
        <w:rPr>
          <w:rFonts w:ascii="MarkOT" w:hAnsi="MarkOT" w:cs="Arial"/>
          <w:b/>
        </w:rPr>
      </w:pPr>
      <w:r w:rsidRPr="00B8370E">
        <w:rPr>
          <w:rFonts w:ascii="MarkOT" w:hAnsi="MarkOT" w:cs="Arial"/>
          <w:b/>
        </w:rPr>
        <w:t>END</w:t>
      </w:r>
    </w:p>
    <w:p w:rsidR="00356653" w:rsidRPr="00356653" w:rsidRDefault="00356653" w:rsidP="00356653">
      <w:pPr>
        <w:spacing w:line="360" w:lineRule="auto"/>
        <w:jc w:val="center"/>
        <w:rPr>
          <w:rFonts w:ascii="MarkOT" w:hAnsi="MarkOT" w:cs="Arial"/>
          <w:b/>
        </w:rPr>
      </w:pPr>
    </w:p>
    <w:sectPr w:rsidR="00356653" w:rsidRPr="00356653" w:rsidSect="0089542B">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EE" w:rsidRDefault="00E836EE" w:rsidP="00EB2A47">
      <w:pPr>
        <w:spacing w:after="0" w:line="240" w:lineRule="auto"/>
      </w:pPr>
      <w:r>
        <w:separator/>
      </w:r>
    </w:p>
  </w:endnote>
  <w:endnote w:type="continuationSeparator" w:id="0">
    <w:p w:rsidR="00E836EE" w:rsidRDefault="00E836EE" w:rsidP="00EB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rkOT">
    <w:panose1 w:val="00000000000000000000"/>
    <w:charset w:val="00"/>
    <w:family w:val="swiss"/>
    <w:notTrueType/>
    <w:pitch w:val="variable"/>
    <w:sig w:usb0="A00000EF" w:usb1="5000FCF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2B" w:rsidRDefault="0089542B" w:rsidP="0089542B">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C67316">
      <w:rPr>
        <w:noProof/>
        <w:color w:val="5B9BD5" w:themeColor="accent1"/>
        <w:sz w:val="20"/>
        <w:szCs w:val="20"/>
      </w:rPr>
      <w:t>0</w:t>
    </w:r>
    <w:r>
      <w:rPr>
        <w:color w:val="5B9BD5" w:themeColor="accent1"/>
        <w:sz w:val="20"/>
        <w:szCs w:val="20"/>
      </w:rPr>
      <w:fldChar w:fldCharType="end"/>
    </w:r>
  </w:p>
  <w:p w:rsidR="0089542B" w:rsidRPr="00644D30" w:rsidRDefault="0089542B" w:rsidP="0089542B">
    <w:pPr>
      <w:pStyle w:val="Footer"/>
      <w:rPr>
        <w:b/>
        <w:sz w:val="18"/>
        <w:szCs w:val="18"/>
      </w:rPr>
    </w:pPr>
    <w:r w:rsidRPr="00644D30">
      <w:rPr>
        <w:b/>
        <w:sz w:val="18"/>
        <w:szCs w:val="18"/>
      </w:rPr>
      <w:t>CANTO Response</w:t>
    </w:r>
  </w:p>
  <w:p w:rsidR="0089542B" w:rsidRPr="00644D30" w:rsidRDefault="0089542B" w:rsidP="0089542B">
    <w:pPr>
      <w:pStyle w:val="Footer"/>
      <w:rPr>
        <w:sz w:val="18"/>
        <w:szCs w:val="18"/>
      </w:rPr>
    </w:pPr>
    <w:r w:rsidRPr="00644D30">
      <w:rPr>
        <w:sz w:val="18"/>
        <w:szCs w:val="18"/>
      </w:rPr>
      <w:t xml:space="preserve">ECTEL’s Consultation on ‘Proposed Changes to </w:t>
    </w:r>
    <w:r>
      <w:rPr>
        <w:sz w:val="18"/>
        <w:szCs w:val="18"/>
      </w:rPr>
      <w:t xml:space="preserve">the </w:t>
    </w:r>
    <w:r w:rsidRPr="00644D30">
      <w:rPr>
        <w:sz w:val="18"/>
        <w:szCs w:val="18"/>
      </w:rPr>
      <w:t xml:space="preserve">Universal Service Fund in </w:t>
    </w:r>
    <w:r>
      <w:rPr>
        <w:sz w:val="18"/>
        <w:szCs w:val="18"/>
      </w:rPr>
      <w:t xml:space="preserve">the </w:t>
    </w:r>
    <w:r w:rsidRPr="00644D30">
      <w:rPr>
        <w:sz w:val="18"/>
        <w:szCs w:val="18"/>
      </w:rPr>
      <w:t xml:space="preserve">ECTEL </w:t>
    </w:r>
    <w:r>
      <w:rPr>
        <w:sz w:val="18"/>
        <w:szCs w:val="18"/>
      </w:rPr>
      <w:t>Member States</w:t>
    </w:r>
    <w:r w:rsidRPr="00644D30">
      <w:rPr>
        <w:sz w:val="18"/>
        <w:szCs w:val="18"/>
      </w:rPr>
      <w:t>’</w:t>
    </w:r>
  </w:p>
  <w:p w:rsidR="0089542B" w:rsidRDefault="0089542B" w:rsidP="0089542B">
    <w:pPr>
      <w:pStyle w:val="Footer"/>
      <w:rPr>
        <w:sz w:val="18"/>
        <w:szCs w:val="18"/>
      </w:rPr>
    </w:pPr>
    <w:r w:rsidRPr="00644D30">
      <w:rPr>
        <w:sz w:val="18"/>
        <w:szCs w:val="18"/>
      </w:rPr>
      <w:t>February 22, 2016</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EE" w:rsidRDefault="00E836EE" w:rsidP="00EB2A47">
      <w:pPr>
        <w:spacing w:after="0" w:line="240" w:lineRule="auto"/>
      </w:pPr>
      <w:r>
        <w:separator/>
      </w:r>
    </w:p>
  </w:footnote>
  <w:footnote w:type="continuationSeparator" w:id="0">
    <w:p w:rsidR="00E836EE" w:rsidRDefault="00E836EE" w:rsidP="00EB2A47">
      <w:pPr>
        <w:spacing w:after="0" w:line="240" w:lineRule="auto"/>
      </w:pPr>
      <w:r>
        <w:continuationSeparator/>
      </w:r>
    </w:p>
  </w:footnote>
  <w:footnote w:id="1">
    <w:p w:rsidR="00642C89" w:rsidRDefault="00642C89">
      <w:pPr>
        <w:pStyle w:val="FootnoteText"/>
      </w:pPr>
      <w:r>
        <w:rPr>
          <w:rStyle w:val="FootnoteReference"/>
        </w:rPr>
        <w:footnoteRef/>
      </w:r>
      <w:r>
        <w:t xml:space="preserve"> </w:t>
      </w:r>
      <w:hyperlink r:id="rId1" w:history="1">
        <w:r w:rsidR="007C72D4" w:rsidRPr="0060378B">
          <w:rPr>
            <w:rStyle w:val="Hyperlink"/>
          </w:rPr>
          <w:t>http://telecoms.com/453502/ultimately-connectivity-will-drive-innovation-says-panel-at-africacom/</w:t>
        </w:r>
      </w:hyperlink>
    </w:p>
    <w:p w:rsidR="007C72D4" w:rsidRPr="00642C89" w:rsidRDefault="007C72D4">
      <w:pPr>
        <w:pStyle w:val="FootnoteText"/>
        <w:rPr>
          <w:lang w:val="en-J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26517"/>
    <w:multiLevelType w:val="hybridMultilevel"/>
    <w:tmpl w:val="8EEED7A4"/>
    <w:lvl w:ilvl="0" w:tplc="9DBA9A4A">
      <w:start w:val="1"/>
      <w:numFmt w:val="lowerRoman"/>
      <w:lvlText w:val="%1."/>
      <w:lvlJc w:val="left"/>
      <w:pPr>
        <w:ind w:left="2160" w:hanging="720"/>
      </w:pPr>
      <w:rPr>
        <w:rFonts w:hint="default"/>
      </w:r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1" w15:restartNumberingAfterBreak="0">
    <w:nsid w:val="34F135C1"/>
    <w:multiLevelType w:val="multilevel"/>
    <w:tmpl w:val="C55C0C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Roman"/>
      <w:lvlText w:val="%3."/>
      <w:lvlJc w:val="righ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80EFC"/>
    <w:multiLevelType w:val="multilevel"/>
    <w:tmpl w:val="20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9D16CE"/>
    <w:multiLevelType w:val="multilevel"/>
    <w:tmpl w:val="24C2686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D9B7246"/>
    <w:multiLevelType w:val="hybridMultilevel"/>
    <w:tmpl w:val="CD7A659A"/>
    <w:lvl w:ilvl="0" w:tplc="00761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0B"/>
    <w:rsid w:val="000416BF"/>
    <w:rsid w:val="00156A83"/>
    <w:rsid w:val="00180013"/>
    <w:rsid w:val="00182111"/>
    <w:rsid w:val="001E48F8"/>
    <w:rsid w:val="00211EB8"/>
    <w:rsid w:val="002274E6"/>
    <w:rsid w:val="00266131"/>
    <w:rsid w:val="002C5C5A"/>
    <w:rsid w:val="002F696D"/>
    <w:rsid w:val="00303E12"/>
    <w:rsid w:val="00356653"/>
    <w:rsid w:val="00397BEB"/>
    <w:rsid w:val="003B2682"/>
    <w:rsid w:val="00405C78"/>
    <w:rsid w:val="00462237"/>
    <w:rsid w:val="004B2882"/>
    <w:rsid w:val="00531B46"/>
    <w:rsid w:val="00533BC5"/>
    <w:rsid w:val="0055384F"/>
    <w:rsid w:val="00590CFA"/>
    <w:rsid w:val="00593AC3"/>
    <w:rsid w:val="005D3D74"/>
    <w:rsid w:val="00622D64"/>
    <w:rsid w:val="00642C89"/>
    <w:rsid w:val="00644D30"/>
    <w:rsid w:val="0067220B"/>
    <w:rsid w:val="006E2353"/>
    <w:rsid w:val="00710A2B"/>
    <w:rsid w:val="00764BAD"/>
    <w:rsid w:val="007B1485"/>
    <w:rsid w:val="007C5131"/>
    <w:rsid w:val="007C72D4"/>
    <w:rsid w:val="007F1231"/>
    <w:rsid w:val="008371E8"/>
    <w:rsid w:val="00840094"/>
    <w:rsid w:val="0089542B"/>
    <w:rsid w:val="008C7B9F"/>
    <w:rsid w:val="009125B5"/>
    <w:rsid w:val="00940FB6"/>
    <w:rsid w:val="009B664E"/>
    <w:rsid w:val="00A12971"/>
    <w:rsid w:val="00A84AA2"/>
    <w:rsid w:val="00AB11B5"/>
    <w:rsid w:val="00AD37FC"/>
    <w:rsid w:val="00AD3F92"/>
    <w:rsid w:val="00B5173F"/>
    <w:rsid w:val="00B8370E"/>
    <w:rsid w:val="00C4740D"/>
    <w:rsid w:val="00C67316"/>
    <w:rsid w:val="00C7495F"/>
    <w:rsid w:val="00CB76F7"/>
    <w:rsid w:val="00CC1128"/>
    <w:rsid w:val="00D1744F"/>
    <w:rsid w:val="00D3521C"/>
    <w:rsid w:val="00D65D0D"/>
    <w:rsid w:val="00DC2F37"/>
    <w:rsid w:val="00DD7354"/>
    <w:rsid w:val="00DF05B3"/>
    <w:rsid w:val="00E4080B"/>
    <w:rsid w:val="00E836EE"/>
    <w:rsid w:val="00EB2A47"/>
    <w:rsid w:val="00EE760B"/>
    <w:rsid w:val="00F00BB3"/>
    <w:rsid w:val="00F54627"/>
    <w:rsid w:val="00FA30B6"/>
    <w:rsid w:val="00FC654E"/>
    <w:rsid w:val="00FE01AB"/>
    <w:rsid w:val="00FF1D1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3BB14-A6FC-45E5-9D70-6045BAAA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0D"/>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C4740D"/>
    <w:rPr>
      <w:color w:val="0563C1" w:themeColor="hyperlink"/>
      <w:u w:val="single"/>
    </w:rPr>
  </w:style>
  <w:style w:type="table" w:customStyle="1" w:styleId="TableGrid1">
    <w:name w:val="Table Grid1"/>
    <w:basedOn w:val="TableNormal"/>
    <w:next w:val="TableGrid"/>
    <w:uiPriority w:val="59"/>
    <w:rsid w:val="00FF1D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0C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47"/>
    <w:rPr>
      <w:lang w:val="en-GB"/>
    </w:rPr>
  </w:style>
  <w:style w:type="paragraph" w:styleId="Footer">
    <w:name w:val="footer"/>
    <w:basedOn w:val="Normal"/>
    <w:link w:val="FooterChar"/>
    <w:uiPriority w:val="99"/>
    <w:unhideWhenUsed/>
    <w:rsid w:val="00EB2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47"/>
    <w:rPr>
      <w:lang w:val="en-GB"/>
    </w:rPr>
  </w:style>
  <w:style w:type="paragraph" w:styleId="FootnoteText">
    <w:name w:val="footnote text"/>
    <w:basedOn w:val="Normal"/>
    <w:link w:val="FootnoteTextChar"/>
    <w:uiPriority w:val="99"/>
    <w:semiHidden/>
    <w:unhideWhenUsed/>
    <w:rsid w:val="00642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89"/>
    <w:rPr>
      <w:sz w:val="20"/>
      <w:szCs w:val="20"/>
      <w:lang w:val="en-GB"/>
    </w:rPr>
  </w:style>
  <w:style w:type="character" w:styleId="FootnoteReference">
    <w:name w:val="footnote reference"/>
    <w:basedOn w:val="DefaultParagraphFont"/>
    <w:uiPriority w:val="99"/>
    <w:semiHidden/>
    <w:unhideWhenUsed/>
    <w:rsid w:val="00642C89"/>
    <w:rPr>
      <w:vertAlign w:val="superscript"/>
    </w:rPr>
  </w:style>
  <w:style w:type="paragraph" w:styleId="BalloonText">
    <w:name w:val="Balloon Text"/>
    <w:basedOn w:val="Normal"/>
    <w:link w:val="BalloonTextChar"/>
    <w:uiPriority w:val="99"/>
    <w:semiHidden/>
    <w:unhideWhenUsed/>
    <w:rsid w:val="00A12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7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69308">
      <w:bodyDiv w:val="1"/>
      <w:marLeft w:val="0"/>
      <w:marRight w:val="0"/>
      <w:marTop w:val="0"/>
      <w:marBottom w:val="0"/>
      <w:divBdr>
        <w:top w:val="none" w:sz="0" w:space="0" w:color="auto"/>
        <w:left w:val="none" w:sz="0" w:space="0" w:color="auto"/>
        <w:bottom w:val="none" w:sz="0" w:space="0" w:color="auto"/>
        <w:right w:val="none" w:sz="0" w:space="0" w:color="auto"/>
      </w:divBdr>
      <w:divsChild>
        <w:div w:id="1842116709">
          <w:marLeft w:val="0"/>
          <w:marRight w:val="0"/>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0"/>
              <w:divBdr>
                <w:top w:val="none" w:sz="0" w:space="0" w:color="auto"/>
                <w:left w:val="none" w:sz="0" w:space="0" w:color="auto"/>
                <w:bottom w:val="none" w:sz="0" w:space="0" w:color="auto"/>
                <w:right w:val="none" w:sz="0" w:space="0" w:color="auto"/>
              </w:divBdr>
              <w:divsChild>
                <w:div w:id="1361320509">
                  <w:marLeft w:val="0"/>
                  <w:marRight w:val="0"/>
                  <w:marTop w:val="0"/>
                  <w:marBottom w:val="0"/>
                  <w:divBdr>
                    <w:top w:val="none" w:sz="0" w:space="0" w:color="auto"/>
                    <w:left w:val="none" w:sz="0" w:space="0" w:color="auto"/>
                    <w:bottom w:val="none" w:sz="0" w:space="0" w:color="auto"/>
                    <w:right w:val="none" w:sz="0" w:space="0" w:color="auto"/>
                  </w:divBdr>
                  <w:divsChild>
                    <w:div w:id="216473311">
                      <w:marLeft w:val="0"/>
                      <w:marRight w:val="0"/>
                      <w:marTop w:val="0"/>
                      <w:marBottom w:val="0"/>
                      <w:divBdr>
                        <w:top w:val="none" w:sz="0" w:space="0" w:color="auto"/>
                        <w:left w:val="none" w:sz="0" w:space="0" w:color="auto"/>
                        <w:bottom w:val="none" w:sz="0" w:space="0" w:color="auto"/>
                        <w:right w:val="none" w:sz="0" w:space="0" w:color="auto"/>
                      </w:divBdr>
                      <w:divsChild>
                        <w:div w:id="1743873769">
                          <w:marLeft w:val="0"/>
                          <w:marRight w:val="0"/>
                          <w:marTop w:val="0"/>
                          <w:marBottom w:val="0"/>
                          <w:divBdr>
                            <w:top w:val="none" w:sz="0" w:space="0" w:color="auto"/>
                            <w:left w:val="none" w:sz="0" w:space="0" w:color="auto"/>
                            <w:bottom w:val="none" w:sz="0" w:space="0" w:color="auto"/>
                            <w:right w:val="none" w:sz="0" w:space="0" w:color="auto"/>
                          </w:divBdr>
                          <w:divsChild>
                            <w:div w:id="1476526570">
                              <w:marLeft w:val="0"/>
                              <w:marRight w:val="0"/>
                              <w:marTop w:val="0"/>
                              <w:marBottom w:val="0"/>
                              <w:divBdr>
                                <w:top w:val="none" w:sz="0" w:space="0" w:color="auto"/>
                                <w:left w:val="none" w:sz="0" w:space="0" w:color="auto"/>
                                <w:bottom w:val="none" w:sz="0" w:space="0" w:color="auto"/>
                                <w:right w:val="none" w:sz="0" w:space="0" w:color="auto"/>
                              </w:divBdr>
                              <w:divsChild>
                                <w:div w:id="1348214702">
                                  <w:marLeft w:val="0"/>
                                  <w:marRight w:val="0"/>
                                  <w:marTop w:val="0"/>
                                  <w:marBottom w:val="0"/>
                                  <w:divBdr>
                                    <w:top w:val="none" w:sz="0" w:space="0" w:color="auto"/>
                                    <w:left w:val="none" w:sz="0" w:space="0" w:color="auto"/>
                                    <w:bottom w:val="none" w:sz="0" w:space="0" w:color="auto"/>
                                    <w:right w:val="none" w:sz="0" w:space="0" w:color="auto"/>
                                  </w:divBdr>
                                  <w:divsChild>
                                    <w:div w:id="892234041">
                                      <w:marLeft w:val="0"/>
                                      <w:marRight w:val="0"/>
                                      <w:marTop w:val="0"/>
                                      <w:marBottom w:val="0"/>
                                      <w:divBdr>
                                        <w:top w:val="none" w:sz="0" w:space="0" w:color="auto"/>
                                        <w:left w:val="none" w:sz="0" w:space="0" w:color="auto"/>
                                        <w:bottom w:val="none" w:sz="0" w:space="0" w:color="auto"/>
                                        <w:right w:val="none" w:sz="0" w:space="0" w:color="auto"/>
                                      </w:divBdr>
                                      <w:divsChild>
                                        <w:div w:id="1617058764">
                                          <w:marLeft w:val="0"/>
                                          <w:marRight w:val="0"/>
                                          <w:marTop w:val="0"/>
                                          <w:marBottom w:val="0"/>
                                          <w:divBdr>
                                            <w:top w:val="none" w:sz="0" w:space="0" w:color="auto"/>
                                            <w:left w:val="none" w:sz="0" w:space="0" w:color="auto"/>
                                            <w:bottom w:val="none" w:sz="0" w:space="0" w:color="auto"/>
                                            <w:right w:val="none" w:sz="0" w:space="0" w:color="auto"/>
                                          </w:divBdr>
                                          <w:divsChild>
                                            <w:div w:id="856965224">
                                              <w:marLeft w:val="0"/>
                                              <w:marRight w:val="0"/>
                                              <w:marTop w:val="0"/>
                                              <w:marBottom w:val="0"/>
                                              <w:divBdr>
                                                <w:top w:val="single" w:sz="12" w:space="2" w:color="FFFFCC"/>
                                                <w:left w:val="single" w:sz="12" w:space="2" w:color="FFFFCC"/>
                                                <w:bottom w:val="single" w:sz="12" w:space="2" w:color="FFFFCC"/>
                                                <w:right w:val="single" w:sz="12" w:space="0" w:color="FFFFCC"/>
                                              </w:divBdr>
                                              <w:divsChild>
                                                <w:div w:id="1127698345">
                                                  <w:marLeft w:val="0"/>
                                                  <w:marRight w:val="0"/>
                                                  <w:marTop w:val="0"/>
                                                  <w:marBottom w:val="0"/>
                                                  <w:divBdr>
                                                    <w:top w:val="none" w:sz="0" w:space="0" w:color="auto"/>
                                                    <w:left w:val="none" w:sz="0" w:space="0" w:color="auto"/>
                                                    <w:bottom w:val="none" w:sz="0" w:space="0" w:color="auto"/>
                                                    <w:right w:val="none" w:sz="0" w:space="0" w:color="auto"/>
                                                  </w:divBdr>
                                                  <w:divsChild>
                                                    <w:div w:id="1277444349">
                                                      <w:marLeft w:val="0"/>
                                                      <w:marRight w:val="0"/>
                                                      <w:marTop w:val="0"/>
                                                      <w:marBottom w:val="0"/>
                                                      <w:divBdr>
                                                        <w:top w:val="none" w:sz="0" w:space="0" w:color="auto"/>
                                                        <w:left w:val="none" w:sz="0" w:space="0" w:color="auto"/>
                                                        <w:bottom w:val="none" w:sz="0" w:space="0" w:color="auto"/>
                                                        <w:right w:val="none" w:sz="0" w:space="0" w:color="auto"/>
                                                      </w:divBdr>
                                                      <w:divsChild>
                                                        <w:div w:id="1954436611">
                                                          <w:marLeft w:val="0"/>
                                                          <w:marRight w:val="0"/>
                                                          <w:marTop w:val="0"/>
                                                          <w:marBottom w:val="0"/>
                                                          <w:divBdr>
                                                            <w:top w:val="none" w:sz="0" w:space="0" w:color="auto"/>
                                                            <w:left w:val="none" w:sz="0" w:space="0" w:color="auto"/>
                                                            <w:bottom w:val="none" w:sz="0" w:space="0" w:color="auto"/>
                                                            <w:right w:val="none" w:sz="0" w:space="0" w:color="auto"/>
                                                          </w:divBdr>
                                                          <w:divsChild>
                                                            <w:div w:id="1655334872">
                                                              <w:marLeft w:val="0"/>
                                                              <w:marRight w:val="0"/>
                                                              <w:marTop w:val="0"/>
                                                              <w:marBottom w:val="0"/>
                                                              <w:divBdr>
                                                                <w:top w:val="none" w:sz="0" w:space="0" w:color="auto"/>
                                                                <w:left w:val="none" w:sz="0" w:space="0" w:color="auto"/>
                                                                <w:bottom w:val="none" w:sz="0" w:space="0" w:color="auto"/>
                                                                <w:right w:val="none" w:sz="0" w:space="0" w:color="auto"/>
                                                              </w:divBdr>
                                                              <w:divsChild>
                                                                <w:div w:id="1667635534">
                                                                  <w:marLeft w:val="0"/>
                                                                  <w:marRight w:val="0"/>
                                                                  <w:marTop w:val="0"/>
                                                                  <w:marBottom w:val="0"/>
                                                                  <w:divBdr>
                                                                    <w:top w:val="none" w:sz="0" w:space="0" w:color="auto"/>
                                                                    <w:left w:val="none" w:sz="0" w:space="0" w:color="auto"/>
                                                                    <w:bottom w:val="none" w:sz="0" w:space="0" w:color="auto"/>
                                                                    <w:right w:val="none" w:sz="0" w:space="0" w:color="auto"/>
                                                                  </w:divBdr>
                                                                  <w:divsChild>
                                                                    <w:div w:id="8677810">
                                                                      <w:marLeft w:val="0"/>
                                                                      <w:marRight w:val="0"/>
                                                                      <w:marTop w:val="0"/>
                                                                      <w:marBottom w:val="0"/>
                                                                      <w:divBdr>
                                                                        <w:top w:val="none" w:sz="0" w:space="0" w:color="auto"/>
                                                                        <w:left w:val="none" w:sz="0" w:space="0" w:color="auto"/>
                                                                        <w:bottom w:val="none" w:sz="0" w:space="0" w:color="auto"/>
                                                                        <w:right w:val="none" w:sz="0" w:space="0" w:color="auto"/>
                                                                      </w:divBdr>
                                                                      <w:divsChild>
                                                                        <w:div w:id="841512942">
                                                                          <w:marLeft w:val="0"/>
                                                                          <w:marRight w:val="0"/>
                                                                          <w:marTop w:val="0"/>
                                                                          <w:marBottom w:val="0"/>
                                                                          <w:divBdr>
                                                                            <w:top w:val="none" w:sz="0" w:space="0" w:color="auto"/>
                                                                            <w:left w:val="none" w:sz="0" w:space="0" w:color="auto"/>
                                                                            <w:bottom w:val="none" w:sz="0" w:space="0" w:color="auto"/>
                                                                            <w:right w:val="none" w:sz="0" w:space="0" w:color="auto"/>
                                                                          </w:divBdr>
                                                                          <w:divsChild>
                                                                            <w:div w:id="248657968">
                                                                              <w:marLeft w:val="0"/>
                                                                              <w:marRight w:val="0"/>
                                                                              <w:marTop w:val="0"/>
                                                                              <w:marBottom w:val="0"/>
                                                                              <w:divBdr>
                                                                                <w:top w:val="none" w:sz="0" w:space="0" w:color="auto"/>
                                                                                <w:left w:val="none" w:sz="0" w:space="0" w:color="auto"/>
                                                                                <w:bottom w:val="none" w:sz="0" w:space="0" w:color="auto"/>
                                                                                <w:right w:val="none" w:sz="0" w:space="0" w:color="auto"/>
                                                                              </w:divBdr>
                                                                              <w:divsChild>
                                                                                <w:div w:id="1294288187">
                                                                                  <w:marLeft w:val="0"/>
                                                                                  <w:marRight w:val="0"/>
                                                                                  <w:marTop w:val="0"/>
                                                                                  <w:marBottom w:val="0"/>
                                                                                  <w:divBdr>
                                                                                    <w:top w:val="none" w:sz="0" w:space="0" w:color="auto"/>
                                                                                    <w:left w:val="none" w:sz="0" w:space="0" w:color="auto"/>
                                                                                    <w:bottom w:val="none" w:sz="0" w:space="0" w:color="auto"/>
                                                                                    <w:right w:val="none" w:sz="0" w:space="0" w:color="auto"/>
                                                                                  </w:divBdr>
                                                                                  <w:divsChild>
                                                                                    <w:div w:id="566305713">
                                                                                      <w:marLeft w:val="0"/>
                                                                                      <w:marRight w:val="0"/>
                                                                                      <w:marTop w:val="0"/>
                                                                                      <w:marBottom w:val="0"/>
                                                                                      <w:divBdr>
                                                                                        <w:top w:val="none" w:sz="0" w:space="0" w:color="auto"/>
                                                                                        <w:left w:val="none" w:sz="0" w:space="0" w:color="auto"/>
                                                                                        <w:bottom w:val="none" w:sz="0" w:space="0" w:color="auto"/>
                                                                                        <w:right w:val="none" w:sz="0" w:space="0" w:color="auto"/>
                                                                                      </w:divBdr>
                                                                                      <w:divsChild>
                                                                                        <w:div w:id="469518018">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594360">
                                                                                              <w:marLeft w:val="0"/>
                                                                                              <w:marRight w:val="0"/>
                                                                                              <w:marTop w:val="0"/>
                                                                                              <w:marBottom w:val="0"/>
                                                                                              <w:divBdr>
                                                                                                <w:top w:val="none" w:sz="0" w:space="0" w:color="auto"/>
                                                                                                <w:left w:val="none" w:sz="0" w:space="0" w:color="auto"/>
                                                                                                <w:bottom w:val="none" w:sz="0" w:space="0" w:color="auto"/>
                                                                                                <w:right w:val="none" w:sz="0" w:space="0" w:color="auto"/>
                                                                                              </w:divBdr>
                                                                                              <w:divsChild>
                                                                                                <w:div w:id="697901080">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0"/>
                                                                                                      <w:marRight w:val="0"/>
                                                                                                      <w:marTop w:val="0"/>
                                                                                                      <w:marBottom w:val="0"/>
                                                                                                      <w:divBdr>
                                                                                                        <w:top w:val="none" w:sz="0" w:space="0" w:color="auto"/>
                                                                                                        <w:left w:val="none" w:sz="0" w:space="0" w:color="auto"/>
                                                                                                        <w:bottom w:val="none" w:sz="0" w:space="0" w:color="auto"/>
                                                                                                        <w:right w:val="none" w:sz="0" w:space="0" w:color="auto"/>
                                                                                                      </w:divBdr>
                                                                                                      <w:divsChild>
                                                                                                        <w:div w:id="145366227">
                                                                                                          <w:marLeft w:val="0"/>
                                                                                                          <w:marRight w:val="0"/>
                                                                                                          <w:marTop w:val="0"/>
                                                                                                          <w:marBottom w:val="0"/>
                                                                                                          <w:divBdr>
                                                                                                            <w:top w:val="none" w:sz="0" w:space="0" w:color="auto"/>
                                                                                                            <w:left w:val="none" w:sz="0" w:space="0" w:color="auto"/>
                                                                                                            <w:bottom w:val="none" w:sz="0" w:space="0" w:color="auto"/>
                                                                                                            <w:right w:val="none" w:sz="0" w:space="0" w:color="auto"/>
                                                                                                          </w:divBdr>
                                                                                                          <w:divsChild>
                                                                                                            <w:div w:id="129716326">
                                                                                                              <w:marLeft w:val="0"/>
                                                                                                              <w:marRight w:val="0"/>
                                                                                                              <w:marTop w:val="0"/>
                                                                                                              <w:marBottom w:val="0"/>
                                                                                                              <w:divBdr>
                                                                                                                <w:top w:val="single" w:sz="2" w:space="4" w:color="D8D8D8"/>
                                                                                                                <w:left w:val="single" w:sz="2" w:space="0" w:color="D8D8D8"/>
                                                                                                                <w:bottom w:val="single" w:sz="2" w:space="4" w:color="D8D8D8"/>
                                                                                                                <w:right w:val="single" w:sz="2" w:space="0" w:color="D8D8D8"/>
                                                                                                              </w:divBdr>
                                                                                                              <w:divsChild>
                                                                                                                <w:div w:id="2123719784">
                                                                                                                  <w:marLeft w:val="225"/>
                                                                                                                  <w:marRight w:val="225"/>
                                                                                                                  <w:marTop w:val="75"/>
                                                                                                                  <w:marBottom w:val="75"/>
                                                                                                                  <w:divBdr>
                                                                                                                    <w:top w:val="none" w:sz="0" w:space="0" w:color="auto"/>
                                                                                                                    <w:left w:val="none" w:sz="0" w:space="0" w:color="auto"/>
                                                                                                                    <w:bottom w:val="none" w:sz="0" w:space="0" w:color="auto"/>
                                                                                                                    <w:right w:val="none" w:sz="0" w:space="0" w:color="auto"/>
                                                                                                                  </w:divBdr>
                                                                                                                  <w:divsChild>
                                                                                                                    <w:div w:id="569002966">
                                                                                                                      <w:marLeft w:val="0"/>
                                                                                                                      <w:marRight w:val="0"/>
                                                                                                                      <w:marTop w:val="0"/>
                                                                                                                      <w:marBottom w:val="0"/>
                                                                                                                      <w:divBdr>
                                                                                                                        <w:top w:val="single" w:sz="6" w:space="0" w:color="auto"/>
                                                                                                                        <w:left w:val="single" w:sz="6" w:space="0" w:color="auto"/>
                                                                                                                        <w:bottom w:val="single" w:sz="6" w:space="0" w:color="auto"/>
                                                                                                                        <w:right w:val="single" w:sz="6" w:space="0" w:color="auto"/>
                                                                                                                      </w:divBdr>
                                                                                                                      <w:divsChild>
                                                                                                                        <w:div w:id="1699430942">
                                                                                                                          <w:marLeft w:val="0"/>
                                                                                                                          <w:marRight w:val="0"/>
                                                                                                                          <w:marTop w:val="0"/>
                                                                                                                          <w:marBottom w:val="0"/>
                                                                                                                          <w:divBdr>
                                                                                                                            <w:top w:val="none" w:sz="0" w:space="0" w:color="auto"/>
                                                                                                                            <w:left w:val="none" w:sz="0" w:space="0" w:color="auto"/>
                                                                                                                            <w:bottom w:val="none" w:sz="0" w:space="0" w:color="auto"/>
                                                                                                                            <w:right w:val="none" w:sz="0" w:space="0" w:color="auto"/>
                                                                                                                          </w:divBdr>
                                                                                                                          <w:divsChild>
                                                                                                                            <w:div w:id="1386492234">
                                                                                                                              <w:marLeft w:val="0"/>
                                                                                                                              <w:marRight w:val="0"/>
                                                                                                                              <w:marTop w:val="0"/>
                                                                                                                              <w:marBottom w:val="0"/>
                                                                                                                              <w:divBdr>
                                                                                                                                <w:top w:val="none" w:sz="0" w:space="0" w:color="auto"/>
                                                                                                                                <w:left w:val="none" w:sz="0" w:space="0" w:color="auto"/>
                                                                                                                                <w:bottom w:val="none" w:sz="0" w:space="0" w:color="auto"/>
                                                                                                                                <w:right w:val="none" w:sz="0" w:space="0" w:color="auto"/>
                                                                                                                              </w:divBdr>
                                                                                                                            </w:div>
                                                                                                                            <w:div w:id="194314409">
                                                                                                                              <w:marLeft w:val="0"/>
                                                                                                                              <w:marRight w:val="0"/>
                                                                                                                              <w:marTop w:val="0"/>
                                                                                                                              <w:marBottom w:val="0"/>
                                                                                                                              <w:divBdr>
                                                                                                                                <w:top w:val="none" w:sz="0" w:space="0" w:color="auto"/>
                                                                                                                                <w:left w:val="none" w:sz="0" w:space="0" w:color="auto"/>
                                                                                                                                <w:bottom w:val="none" w:sz="0" w:space="0" w:color="auto"/>
                                                                                                                                <w:right w:val="none" w:sz="0" w:space="0" w:color="auto"/>
                                                                                                                              </w:divBdr>
                                                                                                                            </w:div>
                                                                                                                            <w:div w:id="1617101651">
                                                                                                                              <w:marLeft w:val="0"/>
                                                                                                                              <w:marRight w:val="0"/>
                                                                                                                              <w:marTop w:val="0"/>
                                                                                                                              <w:marBottom w:val="0"/>
                                                                                                                              <w:divBdr>
                                                                                                                                <w:top w:val="none" w:sz="0" w:space="0" w:color="auto"/>
                                                                                                                                <w:left w:val="none" w:sz="0" w:space="0" w:color="auto"/>
                                                                                                                                <w:bottom w:val="none" w:sz="0" w:space="0" w:color="auto"/>
                                                                                                                                <w:right w:val="none" w:sz="0" w:space="0" w:color="auto"/>
                                                                                                                              </w:divBdr>
                                                                                                                            </w:div>
                                                                                                                            <w:div w:id="3045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esia.campbell@cwc.com" TargetMode="External"/><Relationship Id="rId5" Type="http://schemas.openxmlformats.org/officeDocument/2006/relationships/webSettings" Target="webSettings.xml"/><Relationship Id="rId10" Type="http://schemas.openxmlformats.org/officeDocument/2006/relationships/hyperlink" Target="mailto:twankin@canto.org" TargetMode="External"/><Relationship Id="rId4" Type="http://schemas.openxmlformats.org/officeDocument/2006/relationships/settings" Target="settings.xml"/><Relationship Id="rId9" Type="http://schemas.openxmlformats.org/officeDocument/2006/relationships/hyperlink" Target="http://www.canto.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elecoms.com/453502/ultimately-connectivity-will-drive-innovation-says-panel-at-af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4CD2-B349-43A1-B0CE-FF2D3E5A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LIME</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Sutherland-Campbell, Melesia</dc:creator>
  <cp:keywords/>
  <dc:description/>
  <cp:lastModifiedBy>Sutherland-Campbell, Melesia</cp:lastModifiedBy>
  <cp:revision>2</cp:revision>
  <dcterms:created xsi:type="dcterms:W3CDTF">2016-02-22T17:41:00Z</dcterms:created>
  <dcterms:modified xsi:type="dcterms:W3CDTF">2016-02-22T17:41:00Z</dcterms:modified>
</cp:coreProperties>
</file>