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F7" w:rsidRPr="000F79B4" w:rsidRDefault="00144C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CANTO </w:t>
      </w:r>
      <w:r w:rsidR="000447F7" w:rsidRPr="000F79B4">
        <w:rPr>
          <w:rFonts w:ascii="Times New Roman" w:hAnsi="Times New Roman" w:cs="Times New Roman"/>
          <w:b/>
          <w:sz w:val="36"/>
          <w:szCs w:val="36"/>
        </w:rPr>
        <w:t>Hurricane Emergency Procedure</w:t>
      </w:r>
      <w:r>
        <w:rPr>
          <w:rFonts w:ascii="Times New Roman" w:hAnsi="Times New Roman" w:cs="Times New Roman"/>
          <w:b/>
          <w:sz w:val="36"/>
          <w:szCs w:val="36"/>
        </w:rPr>
        <w:t xml:space="preserve"> Template</w:t>
      </w:r>
      <w:bookmarkStart w:id="0" w:name="_GoBack"/>
      <w:bookmarkEnd w:id="0"/>
    </w:p>
    <w:tbl>
      <w:tblPr>
        <w:tblW w:w="11280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540"/>
        <w:gridCol w:w="46"/>
        <w:gridCol w:w="1394"/>
        <w:gridCol w:w="270"/>
        <w:gridCol w:w="5850"/>
        <w:gridCol w:w="30"/>
      </w:tblGrid>
      <w:tr w:rsidR="000447F7" w:rsidTr="000447F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447F7" w:rsidRDefault="000447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RESPONSIBILITY 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447F7" w:rsidRDefault="000447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STEPS 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447F7" w:rsidRDefault="000447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ACTIONS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1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BEFORE A HURRICANE STRIKES (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At the start of the Hurricane Season</w:t>
            </w:r>
            <w:r w:rsidRPr="000447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5"/>
        </w:trPr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BUILDING SERVICES MANGER OR DESIGNATE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>Ensures that the Hurricane Pre-season Checklist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Appendix 6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is completed and all buildings and Central Offices have been checked for secureness.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all necessary repairs are made.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 w:rsidP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Secures all large pieces of equipment, which might be displaced during a hurricane.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shutters are installed at essential/critical locations.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Obtains or revises the list of employees to form the Service Team.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BCMPLAN LEADER/HEADS OF DEPARTMENT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Establishes or revises the list of persons to form the Hurricane Team.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VP NETWORK OPERATIONS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Advise all employees at Essential/Critical Locations that they must report for duty if they are scheduled to do so at the time a hurricane is expected to strike.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FLEET OPERATIONS LIAISON COORDINATOR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the fuel storage capacity is at the maximum.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LINE AND FLEE OPERATIONS LIAISON COORDINATOR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 that all four-wheel drive vehicles are road worthy.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BUILDING SERVICES MANAGER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>Ensures that all standby generators at essential/critical locations are in proper working order and have enough fuel to serve for at least one (1) week subsequent to a hurricane.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BCM PLAN LEADER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all critical departments complete the Hurricane Emergency Checklist.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ALL HOD’s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Completes and submits the Hurricane Emergency Checklist to the respective BCM Plan Leader.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BCM PLAN LEADER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Discuses and agrees on the requirements of the Emergency Hurricane Checklist. </w:t>
            </w:r>
          </w:p>
        </w:tc>
      </w:tr>
      <w:tr w:rsidR="000447F7" w:rsidRPr="000447F7" w:rsidTr="000447F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CMPLAN LEADER AND HEAD OF DEPARTMENT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Arrive at an agreement on the items to be obtained and signs the Checklist. </w:t>
            </w:r>
          </w:p>
        </w:tc>
      </w:tr>
    </w:tbl>
    <w:p w:rsidR="000447F7" w:rsidRPr="000447F7" w:rsidRDefault="000447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33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440"/>
        <w:gridCol w:w="6078"/>
        <w:gridCol w:w="25"/>
      </w:tblGrid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HOD’s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Prepares Purchase Requisition and sends to the Purchasing and Supply Chain Group.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NETWORK OPERATIONS AND CUSTOMER SUPPORT GROUPS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Make internal arrangements to have VHF two-way radios available for use during the hurricane.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PURCHASING AND SUPPLY CHAIN GROUP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Send supplies to the line department. (At 48 Hours for food items, and at the start of the season for other items)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HEAD OF DEPARTMENT OR DESIGNATE (for the respective area)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Stores emergency supplies on site. </w:t>
            </w:r>
          </w:p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Note: Supplies not used during the hurricane must be returned to the Inventory Management Department.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emergency supplies are transported to all remote locations, which will be manned during a hurricane.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 w:rsidP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there is adequate water supply for at least one week subsequent to the hurricane.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EARTH STATION BCM PLAN LEADER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Ensures that Earth Station Microwave dishes, feed and guy wires are checked.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PRESIDENT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HURRICANE 48 HOURS AWAY</w:t>
            </w:r>
          </w:p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Directs that a bulletin be issued to all members of staff citing the relevant areas of this Plan.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>Activate the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mergency </w:t>
            </w: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perations </w:t>
            </w: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entre</w:t>
            </w: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SERVICE TEAM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Installs hurricane shutters at critical locations.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Check starter batteries and load test all standby plants.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EARTH STATION BCM PLAN LEADER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Secure all spare microwave dishes.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 w:rsidP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Test INMARSAT terminals and store in a safe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place</w:t>
            </w: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1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HURRICANE 24 HOURS AWAY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EMPLOYEES AND SERVICE TEAMS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Secure the company’s property and equipment. </w:t>
            </w:r>
          </w:p>
        </w:tc>
      </w:tr>
      <w:tr w:rsidR="000447F7" w:rsidRPr="000447F7" w:rsidTr="009373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EARTH STATION BCM PLAN LEADER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7F7" w:rsidRPr="000447F7" w:rsidRDefault="000447F7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7">
              <w:rPr>
                <w:rFonts w:ascii="Times New Roman" w:hAnsi="Times New Roman" w:cs="Times New Roman"/>
                <w:sz w:val="28"/>
                <w:szCs w:val="28"/>
              </w:rPr>
              <w:t xml:space="preserve">Informs INTELSAT and connecting earth stations of the imminence of a hurricane and a possible stow of antennae.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NETWORK PLANNING MANAGER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Advises connecting administrations of the imminence of a hurricane.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BCM PLAN LEADERS.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Arrange transportation for the Hurricane Team to arrive at their location.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5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RISK MITIGATION &amp; ENVIRONMENTAL PROTECTION MANAGER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Obtains additional security personnel for all locations that will be manned during the hurricane.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31"/>
        </w:trPr>
        <w:tc>
          <w:tcPr>
            <w:tcW w:w="1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HURRICANE 12 HOURS AWAY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9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HEAD OF DEPARTMENT (respective area)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Ensures that all vehicles assigned to the department are parked in the safest area.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425"/>
        </w:trPr>
        <w:tc>
          <w:tcPr>
            <w:tcW w:w="1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Note: All vehicles are to be parked as close as possible to </w:t>
            </w:r>
            <w:proofErr w:type="spellStart"/>
            <w:r w:rsidRPr="009373C2">
              <w:rPr>
                <w:rFonts w:ascii="Times New Roman" w:hAnsi="Times New Roman" w:cs="Times New Roman"/>
                <w:sz w:val="28"/>
                <w:szCs w:val="28"/>
              </w:rPr>
              <w:t>minimise</w:t>
            </w:r>
            <w:proofErr w:type="spellEnd"/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 damage from flying objects and in such a manner as to protect the windscreen of the vehicles.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39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HURRICANE AND SERVICE TEAMS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Report for duty to the assigned location.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CUSTOMER CONTACT CENTRE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Advises all ships in the area of the imminence of a hurricane.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5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PRESIDENT/DPA TEAM AND BCM PLAN LEADERS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 w:rsidP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Report to the Emergency Operation Center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(EOC)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33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BUILDING SERVICES MANAGER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HURRICANE 8 HOURS AWAY</w:t>
            </w:r>
          </w:p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Lowers all elevators to the ground floor and disable them.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HEADS OF DEPARTMENT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38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Sends home all employees who are not a part of the Hurricane or Service Team.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HURRICANE TEAM AT </w:t>
            </w: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THE EARTH STATION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39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Stows antennae(s) when wind speed exceeds one </w:t>
            </w:r>
            <w:r w:rsidRPr="00937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hundred (100) miles per hour.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43"/>
        </w:trPr>
        <w:tc>
          <w:tcPr>
            <w:tcW w:w="1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DURING THE HURRICANE – ESSENTIAL/ CRITICAL LOCATIONS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HURRICANE AND SERVICE TEAMS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40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Endeavour to maintain telecommunications services and protect the Company’s equipment. </w:t>
            </w:r>
          </w:p>
        </w:tc>
      </w:tr>
      <w:tr w:rsidR="009373C2" w:rsidRPr="009373C2" w:rsidTr="009373C2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SHIP to SHORE OPERATIONS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41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3C2" w:rsidRPr="009373C2" w:rsidRDefault="009373C2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2">
              <w:rPr>
                <w:rFonts w:ascii="Times New Roman" w:hAnsi="Times New Roman" w:cs="Times New Roman"/>
                <w:sz w:val="28"/>
                <w:szCs w:val="28"/>
              </w:rPr>
              <w:t xml:space="preserve">Listens for and responds to signals and relays the information to the Coast Guard. </w:t>
            </w:r>
          </w:p>
        </w:tc>
      </w:tr>
    </w:tbl>
    <w:p w:rsidR="000447F7" w:rsidRPr="009373C2" w:rsidRDefault="000447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77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440"/>
        <w:gridCol w:w="6147"/>
      </w:tblGrid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SERVICE TEAM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42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 w:rsidP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Provides support to the Hurricane Team by ensuring that any property damage, which occurs during the hurricane, which impacts on the work of the Hurricane Team, 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repaired </w:t>
            </w: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as best as possible.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PRESIDENT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43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Ensures that the following employees are present in the EOC: chairman, COO, RMRA Manager, VP Customer Support, VP Corporate Communications, VP Network Operations, VP Customer Contact Centre, VP Human Resources Manager, SVP Finance, VP Purchasing and Supply Chain, VP Corporate Accounts.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AFTER THE HURRICANE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PRESIDENT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44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Provides directives on the deployment of staff and priorities in the restoration exercise.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HOD’s/PARISH REPRESENTATIVES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45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Records all instances of damage on the Damage Report (Exhibit 1) Form and submits it to the Vice President in charge of the functional area.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VICE PRESIDENT, FUNCTIONAL AREA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46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 w:rsidP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Routes all Damage Report forms to the Risk </w:t>
            </w:r>
            <w:proofErr w:type="gramStart"/>
            <w:r w:rsidRPr="000F79B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anagement </w:t>
            </w: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 Department</w:t>
            </w:r>
            <w:proofErr w:type="gramEnd"/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HOD’s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47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Assess damage in functional areas and initiates repairs.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NETWORK OPERATIONS AND CUSTOMER SUPPORT GROUP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48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Maintain record of all temporary repairs, which have been made, for example, repairs to cables.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NETWORK OPERATIONS MANAGER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49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Establish INMARSAT terminals in the event that international links have been severed.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 w:rsidP="000F79B4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50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Establishes at least one means of communication to </w:t>
            </w:r>
            <w:r w:rsidRPr="000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link the restoration teams island wide.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CUSTOMER SUPPORT DEPARTMENT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51 </w:t>
            </w: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 w:rsidP="000F79B4">
            <w:pPr>
              <w:pStyle w:val="Default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Liaises with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electricity and power supply companies </w:t>
            </w: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in order to protect customer cables from being damaged in the restoration exercise of these companies. </w:t>
            </w:r>
          </w:p>
        </w:tc>
      </w:tr>
      <w:tr w:rsidR="000F79B4" w:rsidRPr="000F79B4" w:rsidTr="000F79B4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Note: Priority should be given to the restoration of service in the following order: </w:t>
            </w:r>
          </w:p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1) International and Inter-toll trunks </w:t>
            </w:r>
          </w:p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2) Inter-office trunks </w:t>
            </w:r>
          </w:p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3) Essential customer lines </w:t>
            </w:r>
          </w:p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4) Premier, Major and Key customers </w:t>
            </w:r>
          </w:p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79B4">
              <w:rPr>
                <w:rFonts w:ascii="Times New Roman" w:hAnsi="Times New Roman" w:cs="Times New Roman"/>
                <w:sz w:val="28"/>
                <w:szCs w:val="28"/>
              </w:rPr>
              <w:t xml:space="preserve">5) Other customers </w:t>
            </w:r>
          </w:p>
          <w:p w:rsidR="000F79B4" w:rsidRPr="000F79B4" w:rsidRDefault="000F79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7F7" w:rsidRPr="000F79B4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0F79B4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0F79B4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9373C2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9373C2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9373C2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9373C2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Pr="009373C2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447F7" w:rsidRDefault="000447F7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Default="000F79B4">
      <w:pPr>
        <w:rPr>
          <w:rFonts w:ascii="Times New Roman" w:hAnsi="Times New Roman" w:cs="Times New Roman"/>
          <w:sz w:val="28"/>
          <w:szCs w:val="28"/>
        </w:rPr>
      </w:pPr>
    </w:p>
    <w:p w:rsidR="000F79B4" w:rsidRPr="009373C2" w:rsidRDefault="000F79B4">
      <w:pPr>
        <w:rPr>
          <w:rFonts w:ascii="Times New Roman" w:hAnsi="Times New Roman" w:cs="Times New Roman"/>
          <w:sz w:val="28"/>
          <w:szCs w:val="28"/>
        </w:rPr>
      </w:pPr>
    </w:p>
    <w:sectPr w:rsidR="000F79B4" w:rsidRPr="0093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F7"/>
    <w:rsid w:val="000447F7"/>
    <w:rsid w:val="000F79B4"/>
    <w:rsid w:val="00144CC9"/>
    <w:rsid w:val="00417AE3"/>
    <w:rsid w:val="00765A24"/>
    <w:rsid w:val="009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Wallen-Bryan, Heather</dc:creator>
  <cp:lastModifiedBy>Wallen-Bryan, Heather</cp:lastModifiedBy>
  <cp:revision>2</cp:revision>
  <dcterms:created xsi:type="dcterms:W3CDTF">2015-04-15T21:54:00Z</dcterms:created>
  <dcterms:modified xsi:type="dcterms:W3CDTF">2015-04-15T21:54:00Z</dcterms:modified>
</cp:coreProperties>
</file>